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9C5C3" w14:textId="56093825" w:rsidR="009A580F" w:rsidRDefault="00144CA7" w:rsidP="009A580F">
      <w:pPr>
        <w:pStyle w:val="Virsraksts1"/>
        <w:numPr>
          <w:ilvl w:val="0"/>
          <w:numId w:val="0"/>
        </w:numPr>
        <w:spacing w:before="0"/>
        <w:contextualSpacing/>
        <w:jc w:val="center"/>
        <w:rPr>
          <w:rFonts w:eastAsia="PMingLiU"/>
          <w:lang w:eastAsia="en-US"/>
        </w:rPr>
      </w:pPr>
      <w:bookmarkStart w:id="0" w:name="_Toc469913548"/>
      <w:bookmarkStart w:id="1" w:name="_GoBack"/>
      <w:bookmarkEnd w:id="1"/>
      <w:r w:rsidRPr="001D02FD">
        <w:rPr>
          <w:rFonts w:eastAsia="PMingLiU"/>
          <w:lang w:eastAsia="en-US"/>
        </w:rPr>
        <w:t>Submission of Capability Statement</w:t>
      </w:r>
      <w:bookmarkEnd w:id="0"/>
      <w:r w:rsidR="00B92C6F">
        <w:rPr>
          <w:rFonts w:eastAsia="PMingLiU"/>
          <w:lang w:eastAsia="en-US"/>
        </w:rPr>
        <w:t xml:space="preserve"> </w:t>
      </w:r>
      <w:r w:rsidR="00CD7A9F">
        <w:rPr>
          <w:rFonts w:eastAsia="PMingLiU"/>
          <w:lang w:eastAsia="en-US"/>
        </w:rPr>
        <w:t>of</w:t>
      </w:r>
      <w:r w:rsidR="00B92C6F">
        <w:rPr>
          <w:rFonts w:eastAsia="PMingLiU"/>
          <w:lang w:eastAsia="en-US"/>
        </w:rPr>
        <w:t xml:space="preserve"> </w:t>
      </w:r>
    </w:p>
    <w:p w14:paraId="719AED32" w14:textId="582025D5" w:rsidR="009A580F" w:rsidRPr="009A580F" w:rsidRDefault="009A580F" w:rsidP="009A580F">
      <w:pPr>
        <w:pStyle w:val="Virsraksts1"/>
        <w:numPr>
          <w:ilvl w:val="0"/>
          <w:numId w:val="0"/>
        </w:numPr>
        <w:spacing w:before="0"/>
        <w:contextualSpacing/>
        <w:jc w:val="center"/>
        <w:rPr>
          <w:rFonts w:eastAsia="PMingLiU"/>
          <w:u w:val="single"/>
          <w:lang w:eastAsia="en-US"/>
        </w:rPr>
      </w:pPr>
      <w:proofErr w:type="gramStart"/>
      <w:r w:rsidRPr="009A580F">
        <w:rPr>
          <w:rFonts w:eastAsia="PMingLiU"/>
          <w:u w:val="single"/>
          <w:lang w:eastAsia="en-US"/>
        </w:rPr>
        <w:t>the</w:t>
      </w:r>
      <w:proofErr w:type="gramEnd"/>
      <w:r w:rsidRPr="009A580F">
        <w:rPr>
          <w:rFonts w:eastAsia="PMingLiU"/>
          <w:u w:val="single"/>
          <w:lang w:eastAsia="en-US"/>
        </w:rPr>
        <w:t xml:space="preserve"> State Audit Office of the Republic of Latvia</w:t>
      </w:r>
      <w:r>
        <w:rPr>
          <w:rFonts w:eastAsia="PMingLiU"/>
          <w:u w:val="single"/>
          <w:lang w:eastAsia="en-US"/>
        </w:rPr>
        <w:t xml:space="preserve"> (SAO of Latvia)</w:t>
      </w:r>
      <w:r w:rsidRPr="009A580F">
        <w:rPr>
          <w:rFonts w:eastAsia="PMingLiU"/>
          <w:u w:val="single"/>
          <w:lang w:eastAsia="en-US"/>
        </w:rPr>
        <w:t xml:space="preserve"> </w:t>
      </w:r>
    </w:p>
    <w:p w14:paraId="56D92CD4" w14:textId="5F8A7E30" w:rsidR="00144CA7" w:rsidRPr="001D02FD" w:rsidRDefault="009A580F" w:rsidP="009A580F">
      <w:pPr>
        <w:pStyle w:val="Virsraksts1"/>
        <w:numPr>
          <w:ilvl w:val="0"/>
          <w:numId w:val="0"/>
        </w:numPr>
        <w:spacing w:before="0"/>
        <w:contextualSpacing/>
        <w:jc w:val="center"/>
        <w:rPr>
          <w:rFonts w:eastAsia="PMingLiU"/>
          <w:lang w:eastAsia="en-US"/>
        </w:rPr>
      </w:pPr>
      <w:proofErr w:type="gramStart"/>
      <w:r>
        <w:rPr>
          <w:rFonts w:eastAsia="PMingLiU"/>
          <w:lang w:eastAsia="en-US"/>
        </w:rPr>
        <w:t>as</w:t>
      </w:r>
      <w:proofErr w:type="gramEnd"/>
      <w:r>
        <w:rPr>
          <w:rFonts w:eastAsia="PMingLiU"/>
          <w:lang w:eastAsia="en-US"/>
        </w:rPr>
        <w:t xml:space="preserve"> Provider</w:t>
      </w:r>
      <w:r w:rsidR="00B92C6F">
        <w:rPr>
          <w:rFonts w:eastAsia="PMingLiU"/>
          <w:lang w:eastAsia="en-US"/>
        </w:rPr>
        <w:t xml:space="preserve"> of Capacity Development Support</w:t>
      </w:r>
    </w:p>
    <w:p w14:paraId="1956D5E7" w14:textId="77777777" w:rsidR="008955BA" w:rsidRPr="001D02FD" w:rsidRDefault="008955BA" w:rsidP="008955BA">
      <w:pPr>
        <w:spacing w:after="160" w:line="259" w:lineRule="auto"/>
        <w:jc w:val="center"/>
        <w:rPr>
          <w:rFonts w:ascii="Calibri" w:eastAsia="PMingLiU" w:hAnsi="Calibri" w:cs="Arial"/>
          <w:b/>
          <w:bCs/>
          <w:lang w:eastAsia="zh-TW"/>
        </w:rPr>
      </w:pPr>
    </w:p>
    <w:p w14:paraId="25B78069" w14:textId="4470DBFC" w:rsidR="008955BA" w:rsidRDefault="008955BA" w:rsidP="008955BA">
      <w:pPr>
        <w:numPr>
          <w:ilvl w:val="0"/>
          <w:numId w:val="19"/>
        </w:numPr>
        <w:spacing w:after="160" w:line="259" w:lineRule="auto"/>
        <w:contextualSpacing/>
        <w:rPr>
          <w:rFonts w:ascii="Calibri" w:eastAsia="PMingLiU" w:hAnsi="Calibri" w:cs="Arial"/>
          <w:u w:val="single"/>
          <w:lang w:eastAsia="zh-TW"/>
        </w:rPr>
      </w:pPr>
      <w:r w:rsidRPr="001D02FD">
        <w:rPr>
          <w:rFonts w:ascii="Calibri" w:eastAsia="PMingLiU" w:hAnsi="Calibri" w:cs="Arial"/>
          <w:u w:val="single"/>
          <w:lang w:eastAsia="zh-TW"/>
        </w:rPr>
        <w:t>Specifics of the SAI as a Provider of Support</w:t>
      </w:r>
    </w:p>
    <w:p w14:paraId="72AA688C" w14:textId="77777777" w:rsidR="009A580F" w:rsidRPr="001D02FD" w:rsidRDefault="009A580F" w:rsidP="009A580F">
      <w:pPr>
        <w:spacing w:after="160" w:line="259" w:lineRule="auto"/>
        <w:ind w:left="360"/>
        <w:contextualSpacing/>
        <w:rPr>
          <w:rFonts w:ascii="Calibri" w:eastAsia="PMingLiU" w:hAnsi="Calibri" w:cs="Arial"/>
          <w:u w:val="single"/>
          <w:lang w:eastAsia="zh-TW"/>
        </w:rPr>
      </w:pPr>
    </w:p>
    <w:tbl>
      <w:tblPr>
        <w:tblStyle w:val="TableGrid3"/>
        <w:tblW w:w="10207" w:type="dxa"/>
        <w:tblInd w:w="-289" w:type="dxa"/>
        <w:tblLook w:val="04A0" w:firstRow="1" w:lastRow="0" w:firstColumn="1" w:lastColumn="0" w:noHBand="0" w:noVBand="1"/>
      </w:tblPr>
      <w:tblGrid>
        <w:gridCol w:w="6096"/>
        <w:gridCol w:w="4111"/>
      </w:tblGrid>
      <w:tr w:rsidR="008955BA" w:rsidRPr="001D02FD" w14:paraId="7F4CB6CA" w14:textId="77777777" w:rsidTr="009E1179">
        <w:tc>
          <w:tcPr>
            <w:tcW w:w="6096" w:type="dxa"/>
            <w:shd w:val="clear" w:color="auto" w:fill="D9D9D9"/>
          </w:tcPr>
          <w:p w14:paraId="44B16AFC"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Is the body a legal entity capable of entering into contracts?</w:t>
            </w:r>
          </w:p>
        </w:tc>
        <w:tc>
          <w:tcPr>
            <w:tcW w:w="4111" w:type="dxa"/>
          </w:tcPr>
          <w:p w14:paraId="65621857" w14:textId="5F17EE59" w:rsidR="008955BA" w:rsidRPr="001D02FD" w:rsidRDefault="009A580F" w:rsidP="008955BA">
            <w:pPr>
              <w:rPr>
                <w:rFonts w:ascii="Calibri" w:eastAsia="PMingLiU" w:hAnsi="Calibri" w:cs="Arial"/>
                <w:lang w:eastAsia="zh-TW"/>
              </w:rPr>
            </w:pPr>
            <w:r>
              <w:rPr>
                <w:rFonts w:ascii="Calibri" w:eastAsia="PMingLiU" w:hAnsi="Calibri" w:cs="Arial"/>
                <w:lang w:eastAsia="zh-TW"/>
              </w:rPr>
              <w:t>Yes</w:t>
            </w:r>
          </w:p>
        </w:tc>
      </w:tr>
      <w:tr w:rsidR="008955BA" w:rsidRPr="001D02FD" w14:paraId="56E48EB5" w14:textId="77777777" w:rsidTr="009E1179">
        <w:tc>
          <w:tcPr>
            <w:tcW w:w="6096" w:type="dxa"/>
            <w:shd w:val="clear" w:color="auto" w:fill="D9D9D9"/>
          </w:tcPr>
          <w:p w14:paraId="3D0D66E2"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 xml:space="preserve">Does the body receive core funding (i.e. not linked to specific projects) that it </w:t>
            </w:r>
            <w:r w:rsidRPr="001D02FD">
              <w:rPr>
                <w:rFonts w:ascii="Calibri" w:eastAsia="PMingLiU" w:hAnsi="Calibri" w:cs="Arial"/>
                <w:i/>
                <w:iCs/>
                <w:u w:val="single"/>
                <w:lang w:eastAsia="zh-TW"/>
              </w:rPr>
              <w:t>could</w:t>
            </w:r>
            <w:r w:rsidRPr="001D02FD">
              <w:rPr>
                <w:rFonts w:ascii="Calibri" w:eastAsia="PMingLiU" w:hAnsi="Calibri" w:cs="Arial"/>
                <w:i/>
                <w:iCs/>
                <w:lang w:eastAsia="zh-TW"/>
              </w:rPr>
              <w:t xml:space="preserve"> utilise to support activities under the GCP? (If so, provide details)</w:t>
            </w:r>
          </w:p>
        </w:tc>
        <w:tc>
          <w:tcPr>
            <w:tcW w:w="4111" w:type="dxa"/>
          </w:tcPr>
          <w:p w14:paraId="4630BD8C" w14:textId="341FB04A" w:rsidR="008955BA" w:rsidRPr="001D02FD" w:rsidRDefault="009A580F" w:rsidP="008955BA">
            <w:pPr>
              <w:rPr>
                <w:rFonts w:ascii="Calibri" w:eastAsia="PMingLiU" w:hAnsi="Calibri" w:cs="Arial"/>
                <w:lang w:eastAsia="zh-TW"/>
              </w:rPr>
            </w:pPr>
            <w:r>
              <w:rPr>
                <w:rFonts w:ascii="Calibri" w:eastAsia="PMingLiU" w:hAnsi="Calibri" w:cs="Arial"/>
                <w:lang w:eastAsia="zh-TW"/>
              </w:rPr>
              <w:t>No</w:t>
            </w:r>
          </w:p>
        </w:tc>
      </w:tr>
      <w:tr w:rsidR="008955BA" w:rsidRPr="001D02FD" w14:paraId="760BA61F" w14:textId="77777777" w:rsidTr="009E1179">
        <w:tc>
          <w:tcPr>
            <w:tcW w:w="6096" w:type="dxa"/>
            <w:shd w:val="clear" w:color="auto" w:fill="D9D9D9"/>
          </w:tcPr>
          <w:p w14:paraId="19439058"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Is the body able to provide its staff to support GCP activities as in-kind support? If so, please indicate possible volumes and whether short or long term.</w:t>
            </w:r>
          </w:p>
        </w:tc>
        <w:tc>
          <w:tcPr>
            <w:tcW w:w="4111" w:type="dxa"/>
          </w:tcPr>
          <w:p w14:paraId="50054A99" w14:textId="6B15FDE4" w:rsidR="008955BA" w:rsidRPr="001D02FD" w:rsidRDefault="009A580F" w:rsidP="00D45BF2">
            <w:pPr>
              <w:rPr>
                <w:rFonts w:ascii="Calibri" w:eastAsia="PMingLiU" w:hAnsi="Calibri" w:cs="Arial"/>
                <w:lang w:eastAsia="zh-TW"/>
              </w:rPr>
            </w:pPr>
            <w:r>
              <w:rPr>
                <w:rFonts w:ascii="Calibri" w:eastAsia="PMingLiU" w:hAnsi="Calibri" w:cs="Arial"/>
                <w:lang w:eastAsia="zh-TW"/>
              </w:rPr>
              <w:t xml:space="preserve">Yes, up to </w:t>
            </w:r>
            <w:r w:rsidR="00D45BF2">
              <w:rPr>
                <w:rFonts w:ascii="Calibri" w:eastAsia="PMingLiU" w:hAnsi="Calibri" w:cs="Arial"/>
                <w:lang w:eastAsia="zh-TW"/>
              </w:rPr>
              <w:t>2</w:t>
            </w:r>
            <w:r>
              <w:rPr>
                <w:rFonts w:ascii="Calibri" w:eastAsia="PMingLiU" w:hAnsi="Calibri" w:cs="Arial"/>
                <w:lang w:eastAsia="zh-TW"/>
              </w:rPr>
              <w:t xml:space="preserve"> short term experts</w:t>
            </w:r>
            <w:r w:rsidR="00D45BF2">
              <w:rPr>
                <w:rFonts w:ascii="Calibri" w:eastAsia="PMingLiU" w:hAnsi="Calibri" w:cs="Arial"/>
                <w:lang w:eastAsia="zh-TW"/>
              </w:rPr>
              <w:t xml:space="preserve"> </w:t>
            </w:r>
            <w:r w:rsidR="00D45BF2" w:rsidRPr="00D45BF2">
              <w:rPr>
                <w:rFonts w:ascii="Calibri" w:eastAsia="PMingLiU" w:hAnsi="Calibri" w:cs="Arial"/>
                <w:lang w:eastAsia="zh-TW"/>
              </w:rPr>
              <w:t>contributing simultaneously</w:t>
            </w:r>
          </w:p>
        </w:tc>
      </w:tr>
      <w:tr w:rsidR="008955BA" w:rsidRPr="001D02FD" w14:paraId="63AFE187" w14:textId="77777777" w:rsidTr="009E1179">
        <w:tc>
          <w:tcPr>
            <w:tcW w:w="6096" w:type="dxa"/>
            <w:shd w:val="clear" w:color="auto" w:fill="D9D9D9"/>
          </w:tcPr>
          <w:p w14:paraId="37F0EB99"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Is the body able to provide any other forms of in-kind support, e.g. provision of training facilities? (If so, provide details)</w:t>
            </w:r>
          </w:p>
        </w:tc>
        <w:tc>
          <w:tcPr>
            <w:tcW w:w="4111" w:type="dxa"/>
          </w:tcPr>
          <w:p w14:paraId="308B1BA2" w14:textId="4F6E7EED" w:rsidR="008955BA" w:rsidRPr="001D02FD" w:rsidRDefault="009A580F" w:rsidP="009A580F">
            <w:pPr>
              <w:rPr>
                <w:rFonts w:ascii="Calibri" w:eastAsia="PMingLiU" w:hAnsi="Calibri" w:cs="Arial"/>
                <w:lang w:eastAsia="zh-TW"/>
              </w:rPr>
            </w:pPr>
            <w:r>
              <w:rPr>
                <w:rFonts w:ascii="Calibri" w:eastAsia="PMingLiU" w:hAnsi="Calibri" w:cs="Arial"/>
                <w:lang w:eastAsia="zh-TW"/>
              </w:rPr>
              <w:t xml:space="preserve">Yes – premises of the SAO of Latvia as possible </w:t>
            </w:r>
            <w:r w:rsidRPr="009A580F">
              <w:rPr>
                <w:rFonts w:ascii="Calibri" w:eastAsia="PMingLiU" w:hAnsi="Calibri" w:cs="Arial"/>
                <w:lang w:eastAsia="zh-TW"/>
              </w:rPr>
              <w:t>training facilities</w:t>
            </w:r>
          </w:p>
        </w:tc>
      </w:tr>
      <w:tr w:rsidR="008955BA" w:rsidRPr="001D02FD" w14:paraId="276AFBBC" w14:textId="77777777" w:rsidTr="009E1179">
        <w:tc>
          <w:tcPr>
            <w:tcW w:w="6096" w:type="dxa"/>
            <w:shd w:val="clear" w:color="auto" w:fill="D9D9D9"/>
          </w:tcPr>
          <w:p w14:paraId="6D6BE36A"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Is the body required to operate on a full cost recovery basis?</w:t>
            </w:r>
            <w:r w:rsidRPr="001D02FD">
              <w:rPr>
                <w:rFonts w:ascii="Calibri" w:eastAsia="PMingLiU" w:hAnsi="Calibri" w:cs="Arial"/>
                <w:i/>
                <w:iCs/>
                <w:vertAlign w:val="superscript"/>
                <w:lang w:eastAsia="zh-TW"/>
              </w:rPr>
              <w:footnoteReference w:id="1"/>
            </w:r>
          </w:p>
        </w:tc>
        <w:tc>
          <w:tcPr>
            <w:tcW w:w="4111" w:type="dxa"/>
          </w:tcPr>
          <w:p w14:paraId="5F003E82" w14:textId="2119ABC8" w:rsidR="008955BA" w:rsidRPr="001D02FD" w:rsidRDefault="00D45BF2" w:rsidP="008955BA">
            <w:pPr>
              <w:rPr>
                <w:rFonts w:ascii="Calibri" w:eastAsia="PMingLiU" w:hAnsi="Calibri" w:cs="Arial"/>
                <w:lang w:eastAsia="zh-TW"/>
              </w:rPr>
            </w:pPr>
            <w:r w:rsidRPr="00D45BF2">
              <w:rPr>
                <w:rFonts w:ascii="Calibri" w:eastAsia="PMingLiU" w:hAnsi="Calibri" w:cs="Arial"/>
                <w:lang w:eastAsia="zh-TW"/>
              </w:rPr>
              <w:t>This is not a mandatory requirement, but still a preferable option</w:t>
            </w:r>
          </w:p>
        </w:tc>
      </w:tr>
      <w:tr w:rsidR="008955BA" w:rsidRPr="001D02FD" w14:paraId="0F646357" w14:textId="77777777" w:rsidTr="009E1179">
        <w:tc>
          <w:tcPr>
            <w:tcW w:w="6096" w:type="dxa"/>
            <w:shd w:val="clear" w:color="auto" w:fill="D9D9D9"/>
          </w:tcPr>
          <w:p w14:paraId="4E483476"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Does the body have the mandate to compete for service delivery contracts against other INTOSAI providers of support?</w:t>
            </w:r>
          </w:p>
        </w:tc>
        <w:tc>
          <w:tcPr>
            <w:tcW w:w="4111" w:type="dxa"/>
          </w:tcPr>
          <w:p w14:paraId="4311728D" w14:textId="72C52FAC" w:rsidR="008955BA" w:rsidRPr="001D02FD" w:rsidRDefault="00E85FB7" w:rsidP="008955BA">
            <w:pPr>
              <w:rPr>
                <w:rFonts w:ascii="Calibri" w:eastAsia="PMingLiU" w:hAnsi="Calibri" w:cs="Arial"/>
                <w:lang w:eastAsia="zh-TW"/>
              </w:rPr>
            </w:pPr>
            <w:r>
              <w:rPr>
                <w:rFonts w:ascii="Calibri" w:eastAsia="PMingLiU" w:hAnsi="Calibri" w:cs="Arial"/>
                <w:lang w:eastAsia="zh-TW"/>
              </w:rPr>
              <w:t xml:space="preserve">As per the Law </w:t>
            </w:r>
            <w:r w:rsidRPr="00E85FB7">
              <w:rPr>
                <w:rFonts w:ascii="Calibri" w:eastAsia="PMingLiU" w:hAnsi="Calibri" w:cs="Arial"/>
                <w:lang w:eastAsia="zh-TW"/>
              </w:rPr>
              <w:t>on the State Audit Office</w:t>
            </w:r>
            <w:r>
              <w:rPr>
                <w:rFonts w:ascii="Calibri" w:eastAsia="PMingLiU" w:hAnsi="Calibri" w:cs="Arial"/>
                <w:lang w:eastAsia="zh-TW"/>
              </w:rPr>
              <w:t xml:space="preserve"> – </w:t>
            </w:r>
            <w:r w:rsidRPr="00E85FB7">
              <w:rPr>
                <w:rFonts w:ascii="Calibri" w:eastAsia="PMingLiU" w:hAnsi="Calibri" w:cs="Arial"/>
                <w:i/>
                <w:lang w:eastAsia="zh-TW"/>
              </w:rPr>
              <w:t>“The State Audit Office shall</w:t>
            </w:r>
            <w:r w:rsidRPr="00E85FB7">
              <w:rPr>
                <w:i/>
              </w:rPr>
              <w:t xml:space="preserve"> </w:t>
            </w:r>
            <w:r w:rsidRPr="00E85FB7">
              <w:rPr>
                <w:rFonts w:ascii="Calibri" w:eastAsia="PMingLiU" w:hAnsi="Calibri" w:cs="Arial"/>
                <w:i/>
                <w:lang w:eastAsia="zh-TW"/>
              </w:rPr>
              <w:t>co-operate within the scope of its competence with the institutions of the European Union and other internationa</w:t>
            </w:r>
            <w:r w:rsidR="00E03D75">
              <w:rPr>
                <w:rFonts w:ascii="Calibri" w:eastAsia="PMingLiU" w:hAnsi="Calibri" w:cs="Arial"/>
                <w:i/>
                <w:lang w:eastAsia="zh-TW"/>
              </w:rPr>
              <w:t>l organisations or institutions</w:t>
            </w:r>
            <w:r w:rsidRPr="00E85FB7">
              <w:rPr>
                <w:rFonts w:ascii="Calibri" w:eastAsia="PMingLiU" w:hAnsi="Calibri" w:cs="Arial"/>
                <w:i/>
                <w:lang w:eastAsia="zh-TW"/>
              </w:rPr>
              <w:t>”</w:t>
            </w:r>
          </w:p>
        </w:tc>
      </w:tr>
      <w:tr w:rsidR="008955BA" w:rsidRPr="001D02FD" w14:paraId="526C8040" w14:textId="77777777" w:rsidTr="009E1179">
        <w:tc>
          <w:tcPr>
            <w:tcW w:w="6096" w:type="dxa"/>
            <w:shd w:val="clear" w:color="auto" w:fill="D9D9D9"/>
          </w:tcPr>
          <w:p w14:paraId="1943CB76"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Does the body have the mandate to compete for service delivery contracts against private sector providers of support?</w:t>
            </w:r>
          </w:p>
        </w:tc>
        <w:tc>
          <w:tcPr>
            <w:tcW w:w="4111" w:type="dxa"/>
          </w:tcPr>
          <w:p w14:paraId="58E132F3" w14:textId="70DFCC2E" w:rsidR="008955BA" w:rsidRPr="001D02FD" w:rsidRDefault="00E85FB7" w:rsidP="00983115">
            <w:pPr>
              <w:rPr>
                <w:rFonts w:ascii="Calibri" w:eastAsia="PMingLiU" w:hAnsi="Calibri" w:cs="Arial"/>
                <w:lang w:eastAsia="zh-TW"/>
              </w:rPr>
            </w:pPr>
            <w:r>
              <w:rPr>
                <w:rFonts w:ascii="Calibri" w:eastAsia="PMingLiU" w:hAnsi="Calibri" w:cs="Arial"/>
                <w:lang w:eastAsia="zh-TW"/>
              </w:rPr>
              <w:t xml:space="preserve">There are no </w:t>
            </w:r>
            <w:r w:rsidR="00983115">
              <w:rPr>
                <w:rFonts w:ascii="Calibri" w:eastAsia="PMingLiU" w:hAnsi="Calibri" w:cs="Arial"/>
                <w:lang w:eastAsia="zh-TW"/>
              </w:rPr>
              <w:t xml:space="preserve">legal </w:t>
            </w:r>
            <w:r>
              <w:rPr>
                <w:rFonts w:ascii="Calibri" w:eastAsia="PMingLiU" w:hAnsi="Calibri" w:cs="Arial"/>
                <w:lang w:eastAsia="zh-TW"/>
              </w:rPr>
              <w:t>restrictions</w:t>
            </w:r>
            <w:r w:rsidR="00983115">
              <w:rPr>
                <w:rFonts w:ascii="Calibri" w:eastAsia="PMingLiU" w:hAnsi="Calibri" w:cs="Arial"/>
                <w:lang w:eastAsia="zh-TW"/>
              </w:rPr>
              <w:t xml:space="preserve"> to participate in tenders</w:t>
            </w:r>
          </w:p>
        </w:tc>
      </w:tr>
      <w:tr w:rsidR="008955BA" w:rsidRPr="001D02FD" w14:paraId="7130A341" w14:textId="77777777" w:rsidTr="009E1179">
        <w:tc>
          <w:tcPr>
            <w:tcW w:w="6096" w:type="dxa"/>
            <w:shd w:val="clear" w:color="auto" w:fill="D9D9D9"/>
          </w:tcPr>
          <w:p w14:paraId="2780E746"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Is the body restricted to work in specific countries or regions, or does it have specific focus countries or regions? (If so, provide details)</w:t>
            </w:r>
          </w:p>
        </w:tc>
        <w:tc>
          <w:tcPr>
            <w:tcW w:w="4111" w:type="dxa"/>
          </w:tcPr>
          <w:p w14:paraId="173541F9" w14:textId="54A8E736" w:rsidR="008955BA" w:rsidRPr="001D02FD" w:rsidRDefault="00E85FB7" w:rsidP="00983115">
            <w:pPr>
              <w:rPr>
                <w:rFonts w:ascii="Calibri" w:eastAsia="PMingLiU" w:hAnsi="Calibri" w:cs="Arial"/>
                <w:lang w:eastAsia="zh-TW"/>
              </w:rPr>
            </w:pPr>
            <w:r>
              <w:rPr>
                <w:rFonts w:ascii="Calibri" w:eastAsia="PMingLiU" w:hAnsi="Calibri" w:cs="Arial"/>
                <w:lang w:eastAsia="zh-TW"/>
              </w:rPr>
              <w:t xml:space="preserve">There are no restrictions, however the SAO of Latvia focuses its support to the </w:t>
            </w:r>
            <w:r w:rsidRPr="00E76190">
              <w:rPr>
                <w:rFonts w:cs="Times New Roman"/>
                <w:szCs w:val="24"/>
              </w:rPr>
              <w:t>post-soviet</w:t>
            </w:r>
            <w:r w:rsidR="00983115">
              <w:rPr>
                <w:rFonts w:cs="Times New Roman"/>
                <w:szCs w:val="24"/>
              </w:rPr>
              <w:t xml:space="preserve">, East European and Balkan </w:t>
            </w:r>
            <w:r w:rsidRPr="00E76190">
              <w:rPr>
                <w:rFonts w:cs="Times New Roman"/>
                <w:szCs w:val="24"/>
              </w:rPr>
              <w:t>countries</w:t>
            </w:r>
            <w:r>
              <w:rPr>
                <w:rFonts w:cs="Times New Roman"/>
                <w:szCs w:val="24"/>
              </w:rPr>
              <w:t xml:space="preserve">, since </w:t>
            </w:r>
            <w:r w:rsidRPr="00E76190">
              <w:rPr>
                <w:rFonts w:cs="Times New Roman"/>
                <w:szCs w:val="24"/>
              </w:rPr>
              <w:t xml:space="preserve">the SAO </w:t>
            </w:r>
            <w:r w:rsidR="00CD7A9F">
              <w:rPr>
                <w:rFonts w:cs="Times New Roman"/>
                <w:szCs w:val="24"/>
              </w:rPr>
              <w:t>of Latvia, as a post-soviet SAI,</w:t>
            </w:r>
            <w:r w:rsidRPr="00E76190">
              <w:rPr>
                <w:rFonts w:cs="Times New Roman"/>
                <w:szCs w:val="24"/>
              </w:rPr>
              <w:t xml:space="preserve"> itself had gone through the reorganization process from “financial inspection” type of institution to modern and ISSAI compliant audit institution</w:t>
            </w:r>
            <w:r>
              <w:rPr>
                <w:rFonts w:cs="Times New Roman"/>
                <w:szCs w:val="24"/>
              </w:rPr>
              <w:t xml:space="preserve">. </w:t>
            </w:r>
            <w:r w:rsidRPr="00E85FB7">
              <w:rPr>
                <w:rFonts w:cs="Times New Roman"/>
                <w:szCs w:val="24"/>
              </w:rPr>
              <w:t xml:space="preserve">The “competitive advantage” of the SAO of Latvia and the reason, why its service is highly appreciated by </w:t>
            </w:r>
            <w:r>
              <w:rPr>
                <w:rFonts w:cs="Times New Roman"/>
                <w:szCs w:val="24"/>
              </w:rPr>
              <w:t xml:space="preserve">these </w:t>
            </w:r>
            <w:r w:rsidRPr="00E85FB7">
              <w:rPr>
                <w:rFonts w:cs="Times New Roman"/>
                <w:szCs w:val="24"/>
              </w:rPr>
              <w:t>SAIs</w:t>
            </w:r>
            <w:r w:rsidR="003A4C16">
              <w:rPr>
                <w:rFonts w:cs="Times New Roman"/>
                <w:szCs w:val="24"/>
              </w:rPr>
              <w:t xml:space="preserve">, </w:t>
            </w:r>
            <w:r w:rsidR="003A4C16" w:rsidRPr="00E76190">
              <w:rPr>
                <w:rFonts w:cs="Times New Roman"/>
                <w:szCs w:val="24"/>
              </w:rPr>
              <w:t xml:space="preserve">leads to much better understanding of </w:t>
            </w:r>
            <w:r w:rsidR="003A4C16" w:rsidRPr="00E76190">
              <w:rPr>
                <w:rFonts w:cs="Times New Roman"/>
                <w:szCs w:val="24"/>
              </w:rPr>
              <w:lastRenderedPageBreak/>
              <w:t>reorganization environment in transition systems, methods “working” and methods failing, opportunities and threats, importance to gradual or step-by-step approach to reorganization and transition</w:t>
            </w:r>
            <w:r w:rsidR="003A4C16">
              <w:rPr>
                <w:rFonts w:cs="Times New Roman"/>
                <w:szCs w:val="24"/>
              </w:rPr>
              <w:t>.</w:t>
            </w:r>
          </w:p>
        </w:tc>
      </w:tr>
      <w:tr w:rsidR="008955BA" w:rsidRPr="001D02FD" w14:paraId="4918AE80" w14:textId="77777777" w:rsidTr="009E1179">
        <w:tc>
          <w:tcPr>
            <w:tcW w:w="6096" w:type="dxa"/>
            <w:shd w:val="clear" w:color="auto" w:fill="D9D9D9"/>
          </w:tcPr>
          <w:p w14:paraId="71F3DE7C"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lastRenderedPageBreak/>
              <w:t>Does the body have any preference for providing support under tier 1 or tier 2?</w:t>
            </w:r>
          </w:p>
        </w:tc>
        <w:tc>
          <w:tcPr>
            <w:tcW w:w="4111" w:type="dxa"/>
          </w:tcPr>
          <w:p w14:paraId="33AB2E36" w14:textId="1471261B" w:rsidR="008955BA" w:rsidRPr="001D02FD" w:rsidRDefault="00D45BF2" w:rsidP="008955BA">
            <w:pPr>
              <w:rPr>
                <w:rFonts w:ascii="Calibri" w:eastAsia="PMingLiU" w:hAnsi="Calibri" w:cs="Arial"/>
                <w:lang w:eastAsia="zh-TW"/>
              </w:rPr>
            </w:pPr>
            <w:r>
              <w:rPr>
                <w:rFonts w:ascii="Calibri" w:eastAsia="PMingLiU" w:hAnsi="Calibri" w:cs="Arial"/>
                <w:lang w:eastAsia="zh-TW"/>
              </w:rPr>
              <w:t>No</w:t>
            </w:r>
          </w:p>
        </w:tc>
      </w:tr>
      <w:tr w:rsidR="008955BA" w:rsidRPr="001D02FD" w14:paraId="3DF05BF2" w14:textId="77777777" w:rsidTr="009E1179">
        <w:tc>
          <w:tcPr>
            <w:tcW w:w="6096" w:type="dxa"/>
            <w:shd w:val="clear" w:color="auto" w:fill="D9D9D9"/>
          </w:tcPr>
          <w:p w14:paraId="52EB3905"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Does the body restrict its support to countries with a specific administrative heritage or type of SAI (E.g. Court model SAIs, Parliamentary model SAIs)</w:t>
            </w:r>
          </w:p>
        </w:tc>
        <w:tc>
          <w:tcPr>
            <w:tcW w:w="4111" w:type="dxa"/>
          </w:tcPr>
          <w:p w14:paraId="24F74A76" w14:textId="5BB73BE4" w:rsidR="008955BA" w:rsidRPr="001D02FD" w:rsidRDefault="00163182" w:rsidP="008955BA">
            <w:pPr>
              <w:rPr>
                <w:rFonts w:ascii="Calibri" w:eastAsia="PMingLiU" w:hAnsi="Calibri" w:cs="Arial"/>
                <w:lang w:eastAsia="zh-TW"/>
              </w:rPr>
            </w:pPr>
            <w:r>
              <w:rPr>
                <w:rFonts w:ascii="Calibri" w:eastAsia="PMingLiU" w:hAnsi="Calibri" w:cs="Arial"/>
                <w:lang w:eastAsia="zh-TW"/>
              </w:rPr>
              <w:t>No</w:t>
            </w:r>
          </w:p>
        </w:tc>
      </w:tr>
      <w:tr w:rsidR="008955BA" w:rsidRPr="001D02FD" w14:paraId="44B20131" w14:textId="77777777" w:rsidTr="009E1179">
        <w:tc>
          <w:tcPr>
            <w:tcW w:w="6096" w:type="dxa"/>
            <w:shd w:val="clear" w:color="auto" w:fill="D9D9D9"/>
          </w:tcPr>
          <w:p w14:paraId="49042CE7"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Does the body have a dedicated department responsible for coordinating and implementing peer-to-peer capacity development support?</w:t>
            </w:r>
          </w:p>
        </w:tc>
        <w:tc>
          <w:tcPr>
            <w:tcW w:w="4111" w:type="dxa"/>
          </w:tcPr>
          <w:p w14:paraId="76B92749" w14:textId="0A8903D7" w:rsidR="00D45BF2" w:rsidRDefault="00D45BF2" w:rsidP="008955BA">
            <w:pPr>
              <w:rPr>
                <w:rFonts w:ascii="Calibri" w:eastAsia="PMingLiU" w:hAnsi="Calibri" w:cs="Arial"/>
                <w:lang w:eastAsia="zh-TW"/>
              </w:rPr>
            </w:pPr>
            <w:r w:rsidRPr="00D45BF2">
              <w:rPr>
                <w:rFonts w:ascii="Calibri" w:eastAsia="PMingLiU" w:hAnsi="Calibri" w:cs="Arial"/>
                <w:lang w:eastAsia="zh-TW"/>
              </w:rPr>
              <w:t xml:space="preserve">International Cooperation Division </w:t>
            </w:r>
            <w:r>
              <w:rPr>
                <w:rFonts w:ascii="Calibri" w:eastAsia="PMingLiU" w:hAnsi="Calibri" w:cs="Arial"/>
                <w:lang w:eastAsia="zh-TW"/>
              </w:rPr>
              <w:t xml:space="preserve">of the SAO of Latvia is responsible for </w:t>
            </w:r>
            <w:r w:rsidR="00E03D75">
              <w:rPr>
                <w:rFonts w:ascii="Calibri" w:eastAsia="PMingLiU" w:hAnsi="Calibri" w:cs="Arial"/>
                <w:lang w:eastAsia="zh-TW"/>
              </w:rPr>
              <w:t>engaging</w:t>
            </w:r>
            <w:r>
              <w:rPr>
                <w:rFonts w:ascii="Calibri" w:eastAsia="PMingLiU" w:hAnsi="Calibri" w:cs="Arial"/>
                <w:lang w:eastAsia="zh-TW"/>
              </w:rPr>
              <w:t xml:space="preserve"> other structural units </w:t>
            </w:r>
          </w:p>
          <w:p w14:paraId="403B7987" w14:textId="285F809F" w:rsidR="008955BA" w:rsidRPr="001D02FD" w:rsidRDefault="008955BA" w:rsidP="008955BA">
            <w:pPr>
              <w:rPr>
                <w:rFonts w:ascii="Calibri" w:eastAsia="PMingLiU" w:hAnsi="Calibri" w:cs="Arial"/>
                <w:lang w:eastAsia="zh-TW"/>
              </w:rPr>
            </w:pPr>
          </w:p>
        </w:tc>
      </w:tr>
      <w:tr w:rsidR="008955BA" w:rsidRPr="001D02FD" w14:paraId="4EF2BF07" w14:textId="77777777" w:rsidTr="009E1179">
        <w:tc>
          <w:tcPr>
            <w:tcW w:w="6096" w:type="dxa"/>
            <w:shd w:val="clear" w:color="auto" w:fill="D9D9D9"/>
          </w:tcPr>
          <w:p w14:paraId="7BE483C6"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In what languages can the body provide comprehensive support (I.e. respond to demand for support in a wide variety of subject areas, with a pool of possible experts in each area) or ad hoc support?</w:t>
            </w:r>
          </w:p>
        </w:tc>
        <w:tc>
          <w:tcPr>
            <w:tcW w:w="4111" w:type="dxa"/>
          </w:tcPr>
          <w:tbl>
            <w:tblPr>
              <w:tblStyle w:val="TableGrid3"/>
              <w:tblW w:w="0" w:type="auto"/>
              <w:tblLook w:val="04A0" w:firstRow="1" w:lastRow="0" w:firstColumn="1" w:lastColumn="0" w:noHBand="0" w:noVBand="1"/>
            </w:tblPr>
            <w:tblGrid>
              <w:gridCol w:w="1163"/>
              <w:gridCol w:w="1701"/>
              <w:gridCol w:w="879"/>
            </w:tblGrid>
            <w:tr w:rsidR="008955BA" w:rsidRPr="001D02FD" w14:paraId="6EFD2BF9" w14:textId="77777777" w:rsidTr="009E1179">
              <w:tc>
                <w:tcPr>
                  <w:tcW w:w="1163" w:type="dxa"/>
                </w:tcPr>
                <w:p w14:paraId="08A02E02" w14:textId="77777777" w:rsidR="008955BA" w:rsidRPr="001D02FD" w:rsidRDefault="008955BA" w:rsidP="008955BA">
                  <w:pPr>
                    <w:rPr>
                      <w:rFonts w:ascii="Calibri" w:eastAsia="PMingLiU" w:hAnsi="Calibri" w:cs="Arial"/>
                      <w:sz w:val="20"/>
                      <w:szCs w:val="20"/>
                      <w:lang w:eastAsia="zh-TW"/>
                    </w:rPr>
                  </w:pPr>
                </w:p>
              </w:tc>
              <w:tc>
                <w:tcPr>
                  <w:tcW w:w="1701" w:type="dxa"/>
                </w:tcPr>
                <w:p w14:paraId="0411A592"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Comprehensive</w:t>
                  </w:r>
                </w:p>
              </w:tc>
              <w:tc>
                <w:tcPr>
                  <w:tcW w:w="879" w:type="dxa"/>
                </w:tcPr>
                <w:p w14:paraId="34099746"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Ad Hoc</w:t>
                  </w:r>
                </w:p>
              </w:tc>
            </w:tr>
            <w:tr w:rsidR="008955BA" w:rsidRPr="001D02FD" w14:paraId="2F2A5052" w14:textId="77777777" w:rsidTr="009E1179">
              <w:tc>
                <w:tcPr>
                  <w:tcW w:w="1163" w:type="dxa"/>
                </w:tcPr>
                <w:p w14:paraId="018CDD9B"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Arabic</w:t>
                  </w:r>
                </w:p>
              </w:tc>
              <w:tc>
                <w:tcPr>
                  <w:tcW w:w="1701" w:type="dxa"/>
                </w:tcPr>
                <w:p w14:paraId="141E3763" w14:textId="77777777" w:rsidR="008955BA" w:rsidRPr="001D02FD" w:rsidRDefault="008955BA" w:rsidP="008955BA">
                  <w:pPr>
                    <w:rPr>
                      <w:rFonts w:ascii="Calibri" w:eastAsia="PMingLiU" w:hAnsi="Calibri" w:cs="Arial"/>
                      <w:sz w:val="20"/>
                      <w:szCs w:val="20"/>
                      <w:lang w:eastAsia="zh-TW"/>
                    </w:rPr>
                  </w:pPr>
                </w:p>
              </w:tc>
              <w:tc>
                <w:tcPr>
                  <w:tcW w:w="879" w:type="dxa"/>
                </w:tcPr>
                <w:p w14:paraId="663F8DA8" w14:textId="77777777" w:rsidR="008955BA" w:rsidRPr="001D02FD" w:rsidRDefault="008955BA" w:rsidP="008955BA">
                  <w:pPr>
                    <w:rPr>
                      <w:rFonts w:ascii="Calibri" w:eastAsia="PMingLiU" w:hAnsi="Calibri" w:cs="Arial"/>
                      <w:sz w:val="20"/>
                      <w:szCs w:val="20"/>
                      <w:lang w:eastAsia="zh-TW"/>
                    </w:rPr>
                  </w:pPr>
                </w:p>
              </w:tc>
            </w:tr>
            <w:tr w:rsidR="008955BA" w:rsidRPr="001D02FD" w14:paraId="6573FE5A" w14:textId="77777777" w:rsidTr="009E1179">
              <w:tc>
                <w:tcPr>
                  <w:tcW w:w="1163" w:type="dxa"/>
                </w:tcPr>
                <w:p w14:paraId="05581357"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English</w:t>
                  </w:r>
                </w:p>
              </w:tc>
              <w:tc>
                <w:tcPr>
                  <w:tcW w:w="1701" w:type="dxa"/>
                </w:tcPr>
                <w:p w14:paraId="1EEA90E7" w14:textId="56F34348" w:rsidR="008955BA" w:rsidRPr="001D02FD" w:rsidRDefault="00163182" w:rsidP="008955BA">
                  <w:pPr>
                    <w:rPr>
                      <w:rFonts w:ascii="Calibri" w:eastAsia="PMingLiU" w:hAnsi="Calibri" w:cs="Arial"/>
                      <w:sz w:val="20"/>
                      <w:szCs w:val="20"/>
                      <w:lang w:eastAsia="zh-TW"/>
                    </w:rPr>
                  </w:pPr>
                  <w:r>
                    <w:rPr>
                      <w:rFonts w:ascii="Calibri" w:eastAsia="PMingLiU" w:hAnsi="Calibri" w:cs="Arial"/>
                      <w:sz w:val="20"/>
                      <w:szCs w:val="20"/>
                      <w:lang w:eastAsia="zh-TW"/>
                    </w:rPr>
                    <w:t>x</w:t>
                  </w:r>
                </w:p>
              </w:tc>
              <w:tc>
                <w:tcPr>
                  <w:tcW w:w="879" w:type="dxa"/>
                </w:tcPr>
                <w:p w14:paraId="27C5AC69" w14:textId="4D691332" w:rsidR="008955BA" w:rsidRPr="001D02FD" w:rsidRDefault="00163182" w:rsidP="008955BA">
                  <w:pPr>
                    <w:rPr>
                      <w:rFonts w:ascii="Calibri" w:eastAsia="PMingLiU" w:hAnsi="Calibri" w:cs="Arial"/>
                      <w:sz w:val="20"/>
                      <w:szCs w:val="20"/>
                      <w:lang w:eastAsia="zh-TW"/>
                    </w:rPr>
                  </w:pPr>
                  <w:r>
                    <w:rPr>
                      <w:rFonts w:ascii="Calibri" w:eastAsia="PMingLiU" w:hAnsi="Calibri" w:cs="Arial"/>
                      <w:sz w:val="20"/>
                      <w:szCs w:val="20"/>
                      <w:lang w:eastAsia="zh-TW"/>
                    </w:rPr>
                    <w:t>x</w:t>
                  </w:r>
                </w:p>
              </w:tc>
            </w:tr>
            <w:tr w:rsidR="008955BA" w:rsidRPr="001D02FD" w14:paraId="3C36F6C2" w14:textId="77777777" w:rsidTr="009E1179">
              <w:tc>
                <w:tcPr>
                  <w:tcW w:w="1163" w:type="dxa"/>
                </w:tcPr>
                <w:p w14:paraId="2DF1A41B"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French</w:t>
                  </w:r>
                </w:p>
              </w:tc>
              <w:tc>
                <w:tcPr>
                  <w:tcW w:w="1701" w:type="dxa"/>
                </w:tcPr>
                <w:p w14:paraId="2A315862" w14:textId="77777777" w:rsidR="008955BA" w:rsidRPr="001D02FD" w:rsidRDefault="008955BA" w:rsidP="008955BA">
                  <w:pPr>
                    <w:rPr>
                      <w:rFonts w:ascii="Calibri" w:eastAsia="PMingLiU" w:hAnsi="Calibri" w:cs="Arial"/>
                      <w:sz w:val="20"/>
                      <w:szCs w:val="20"/>
                      <w:lang w:eastAsia="zh-TW"/>
                    </w:rPr>
                  </w:pPr>
                </w:p>
              </w:tc>
              <w:tc>
                <w:tcPr>
                  <w:tcW w:w="879" w:type="dxa"/>
                </w:tcPr>
                <w:p w14:paraId="42186066" w14:textId="77777777" w:rsidR="008955BA" w:rsidRPr="001D02FD" w:rsidRDefault="008955BA" w:rsidP="008955BA">
                  <w:pPr>
                    <w:rPr>
                      <w:rFonts w:ascii="Calibri" w:eastAsia="PMingLiU" w:hAnsi="Calibri" w:cs="Arial"/>
                      <w:sz w:val="20"/>
                      <w:szCs w:val="20"/>
                      <w:lang w:eastAsia="zh-TW"/>
                    </w:rPr>
                  </w:pPr>
                </w:p>
              </w:tc>
            </w:tr>
            <w:tr w:rsidR="008955BA" w:rsidRPr="001D02FD" w14:paraId="00BF84E2" w14:textId="77777777" w:rsidTr="009E1179">
              <w:tc>
                <w:tcPr>
                  <w:tcW w:w="1163" w:type="dxa"/>
                </w:tcPr>
                <w:p w14:paraId="23A531D1"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Portuguese</w:t>
                  </w:r>
                </w:p>
              </w:tc>
              <w:tc>
                <w:tcPr>
                  <w:tcW w:w="1701" w:type="dxa"/>
                </w:tcPr>
                <w:p w14:paraId="1374E164" w14:textId="77777777" w:rsidR="008955BA" w:rsidRPr="001D02FD" w:rsidRDefault="008955BA" w:rsidP="008955BA">
                  <w:pPr>
                    <w:rPr>
                      <w:rFonts w:ascii="Calibri" w:eastAsia="PMingLiU" w:hAnsi="Calibri" w:cs="Arial"/>
                      <w:sz w:val="20"/>
                      <w:szCs w:val="20"/>
                      <w:lang w:eastAsia="zh-TW"/>
                    </w:rPr>
                  </w:pPr>
                </w:p>
              </w:tc>
              <w:tc>
                <w:tcPr>
                  <w:tcW w:w="879" w:type="dxa"/>
                </w:tcPr>
                <w:p w14:paraId="05F7713A" w14:textId="77777777" w:rsidR="008955BA" w:rsidRPr="001D02FD" w:rsidRDefault="008955BA" w:rsidP="008955BA">
                  <w:pPr>
                    <w:rPr>
                      <w:rFonts w:ascii="Calibri" w:eastAsia="PMingLiU" w:hAnsi="Calibri" w:cs="Arial"/>
                      <w:sz w:val="20"/>
                      <w:szCs w:val="20"/>
                      <w:lang w:eastAsia="zh-TW"/>
                    </w:rPr>
                  </w:pPr>
                </w:p>
              </w:tc>
            </w:tr>
            <w:tr w:rsidR="008955BA" w:rsidRPr="001D02FD" w14:paraId="0AA02F6A" w14:textId="77777777" w:rsidTr="009E1179">
              <w:tc>
                <w:tcPr>
                  <w:tcW w:w="1163" w:type="dxa"/>
                </w:tcPr>
                <w:p w14:paraId="4E59782A"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Russian</w:t>
                  </w:r>
                </w:p>
              </w:tc>
              <w:tc>
                <w:tcPr>
                  <w:tcW w:w="1701" w:type="dxa"/>
                </w:tcPr>
                <w:p w14:paraId="5963C796" w14:textId="53125089" w:rsidR="008955BA" w:rsidRPr="001D02FD" w:rsidRDefault="00163182" w:rsidP="008955BA">
                  <w:pPr>
                    <w:rPr>
                      <w:rFonts w:ascii="Calibri" w:eastAsia="PMingLiU" w:hAnsi="Calibri" w:cs="Arial"/>
                      <w:sz w:val="20"/>
                      <w:szCs w:val="20"/>
                      <w:lang w:eastAsia="zh-TW"/>
                    </w:rPr>
                  </w:pPr>
                  <w:r>
                    <w:rPr>
                      <w:rFonts w:ascii="Calibri" w:eastAsia="PMingLiU" w:hAnsi="Calibri" w:cs="Arial"/>
                      <w:sz w:val="20"/>
                      <w:szCs w:val="20"/>
                      <w:lang w:eastAsia="zh-TW"/>
                    </w:rPr>
                    <w:t>x</w:t>
                  </w:r>
                </w:p>
              </w:tc>
              <w:tc>
                <w:tcPr>
                  <w:tcW w:w="879" w:type="dxa"/>
                </w:tcPr>
                <w:p w14:paraId="63ECB31C" w14:textId="00A87CC7" w:rsidR="008955BA" w:rsidRPr="001D02FD" w:rsidRDefault="00163182" w:rsidP="008955BA">
                  <w:pPr>
                    <w:rPr>
                      <w:rFonts w:ascii="Calibri" w:eastAsia="PMingLiU" w:hAnsi="Calibri" w:cs="Arial"/>
                      <w:sz w:val="20"/>
                      <w:szCs w:val="20"/>
                      <w:lang w:eastAsia="zh-TW"/>
                    </w:rPr>
                  </w:pPr>
                  <w:r>
                    <w:rPr>
                      <w:rFonts w:ascii="Calibri" w:eastAsia="PMingLiU" w:hAnsi="Calibri" w:cs="Arial"/>
                      <w:sz w:val="20"/>
                      <w:szCs w:val="20"/>
                      <w:lang w:eastAsia="zh-TW"/>
                    </w:rPr>
                    <w:t>x</w:t>
                  </w:r>
                </w:p>
              </w:tc>
            </w:tr>
            <w:tr w:rsidR="008955BA" w:rsidRPr="001D02FD" w14:paraId="2EA8E1FF" w14:textId="77777777" w:rsidTr="009E1179">
              <w:tc>
                <w:tcPr>
                  <w:tcW w:w="1163" w:type="dxa"/>
                </w:tcPr>
                <w:p w14:paraId="3E479ABF" w14:textId="77777777" w:rsidR="008955BA" w:rsidRPr="001D02FD" w:rsidRDefault="008955BA" w:rsidP="008955BA">
                  <w:pPr>
                    <w:rPr>
                      <w:rFonts w:ascii="Calibri" w:eastAsia="PMingLiU" w:hAnsi="Calibri" w:cs="Arial"/>
                      <w:sz w:val="20"/>
                      <w:szCs w:val="20"/>
                      <w:lang w:eastAsia="zh-TW"/>
                    </w:rPr>
                  </w:pPr>
                  <w:r w:rsidRPr="001D02FD">
                    <w:rPr>
                      <w:rFonts w:ascii="Calibri" w:eastAsia="PMingLiU" w:hAnsi="Calibri" w:cs="Arial"/>
                      <w:sz w:val="20"/>
                      <w:szCs w:val="20"/>
                      <w:lang w:eastAsia="zh-TW"/>
                    </w:rPr>
                    <w:t>Spanish</w:t>
                  </w:r>
                </w:p>
              </w:tc>
              <w:tc>
                <w:tcPr>
                  <w:tcW w:w="1701" w:type="dxa"/>
                </w:tcPr>
                <w:p w14:paraId="5C0875CA" w14:textId="77777777" w:rsidR="008955BA" w:rsidRPr="001D02FD" w:rsidRDefault="008955BA" w:rsidP="008955BA">
                  <w:pPr>
                    <w:rPr>
                      <w:rFonts w:ascii="Calibri" w:eastAsia="PMingLiU" w:hAnsi="Calibri" w:cs="Arial"/>
                      <w:sz w:val="20"/>
                      <w:szCs w:val="20"/>
                      <w:lang w:eastAsia="zh-TW"/>
                    </w:rPr>
                  </w:pPr>
                </w:p>
              </w:tc>
              <w:tc>
                <w:tcPr>
                  <w:tcW w:w="879" w:type="dxa"/>
                </w:tcPr>
                <w:p w14:paraId="4B9BAF82" w14:textId="77777777" w:rsidR="008955BA" w:rsidRPr="001D02FD" w:rsidRDefault="008955BA" w:rsidP="008955BA">
                  <w:pPr>
                    <w:rPr>
                      <w:rFonts w:ascii="Calibri" w:eastAsia="PMingLiU" w:hAnsi="Calibri" w:cs="Arial"/>
                      <w:sz w:val="20"/>
                      <w:szCs w:val="20"/>
                      <w:lang w:eastAsia="zh-TW"/>
                    </w:rPr>
                  </w:pPr>
                </w:p>
              </w:tc>
            </w:tr>
            <w:tr w:rsidR="008955BA" w:rsidRPr="001D02FD" w14:paraId="3E5A1D52" w14:textId="77777777" w:rsidTr="009E1179">
              <w:tc>
                <w:tcPr>
                  <w:tcW w:w="1163" w:type="dxa"/>
                </w:tcPr>
                <w:p w14:paraId="412ECE14" w14:textId="01EAE8ED" w:rsidR="008955BA" w:rsidRPr="001D02FD" w:rsidRDefault="008955BA" w:rsidP="009E1179">
                  <w:pPr>
                    <w:rPr>
                      <w:rFonts w:ascii="Calibri" w:eastAsia="PMingLiU" w:hAnsi="Calibri" w:cs="Arial"/>
                      <w:sz w:val="20"/>
                      <w:szCs w:val="20"/>
                      <w:lang w:eastAsia="zh-TW"/>
                    </w:rPr>
                  </w:pPr>
                  <w:r w:rsidRPr="001D02FD">
                    <w:rPr>
                      <w:rFonts w:ascii="Calibri" w:eastAsia="PMingLiU" w:hAnsi="Calibri" w:cs="Arial"/>
                      <w:sz w:val="20"/>
                      <w:szCs w:val="20"/>
                      <w:lang w:eastAsia="zh-TW"/>
                    </w:rPr>
                    <w:t xml:space="preserve">Other: </w:t>
                  </w:r>
                  <w:r w:rsidRPr="001D02FD">
                    <w:rPr>
                      <w:rFonts w:ascii="Calibri" w:eastAsia="PMingLiU" w:hAnsi="Calibri" w:cs="Arial"/>
                      <w:sz w:val="16"/>
                      <w:szCs w:val="16"/>
                      <w:lang w:eastAsia="zh-TW"/>
                    </w:rPr>
                    <w:t>(Please state)</w:t>
                  </w:r>
                </w:p>
              </w:tc>
              <w:tc>
                <w:tcPr>
                  <w:tcW w:w="1701" w:type="dxa"/>
                </w:tcPr>
                <w:p w14:paraId="3BA4AB82" w14:textId="77777777" w:rsidR="008955BA" w:rsidRPr="001D02FD" w:rsidRDefault="008955BA" w:rsidP="008955BA">
                  <w:pPr>
                    <w:rPr>
                      <w:rFonts w:ascii="Calibri" w:eastAsia="PMingLiU" w:hAnsi="Calibri" w:cs="Arial"/>
                      <w:sz w:val="20"/>
                      <w:szCs w:val="20"/>
                      <w:lang w:eastAsia="zh-TW"/>
                    </w:rPr>
                  </w:pPr>
                </w:p>
              </w:tc>
              <w:tc>
                <w:tcPr>
                  <w:tcW w:w="879" w:type="dxa"/>
                </w:tcPr>
                <w:p w14:paraId="375476B0" w14:textId="77777777" w:rsidR="008955BA" w:rsidRPr="001D02FD" w:rsidRDefault="008955BA" w:rsidP="008955BA">
                  <w:pPr>
                    <w:rPr>
                      <w:rFonts w:ascii="Calibri" w:eastAsia="PMingLiU" w:hAnsi="Calibri" w:cs="Arial"/>
                      <w:sz w:val="20"/>
                      <w:szCs w:val="20"/>
                      <w:lang w:eastAsia="zh-TW"/>
                    </w:rPr>
                  </w:pPr>
                </w:p>
              </w:tc>
            </w:tr>
          </w:tbl>
          <w:p w14:paraId="2223B566" w14:textId="77777777" w:rsidR="008955BA" w:rsidRPr="001D02FD" w:rsidRDefault="008955BA" w:rsidP="008955BA">
            <w:pPr>
              <w:rPr>
                <w:rFonts w:ascii="Calibri" w:eastAsia="PMingLiU" w:hAnsi="Calibri" w:cs="Arial"/>
                <w:lang w:eastAsia="zh-TW"/>
              </w:rPr>
            </w:pPr>
          </w:p>
        </w:tc>
      </w:tr>
      <w:tr w:rsidR="008955BA" w:rsidRPr="001D02FD" w14:paraId="5E0B734F" w14:textId="77777777" w:rsidTr="009E1179">
        <w:tc>
          <w:tcPr>
            <w:tcW w:w="6096" w:type="dxa"/>
            <w:shd w:val="clear" w:color="auto" w:fill="D9D9D9"/>
          </w:tcPr>
          <w:p w14:paraId="5197597E"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Would the body be willing to act as the lead responsible body for provision of long-term support under the GCP?</w:t>
            </w:r>
          </w:p>
        </w:tc>
        <w:tc>
          <w:tcPr>
            <w:tcW w:w="4111" w:type="dxa"/>
          </w:tcPr>
          <w:p w14:paraId="36510A78" w14:textId="72D61446" w:rsidR="008955BA" w:rsidRPr="001D02FD" w:rsidRDefault="00983115" w:rsidP="008955BA">
            <w:pPr>
              <w:rPr>
                <w:rFonts w:ascii="Calibri" w:eastAsia="PMingLiU" w:hAnsi="Calibri" w:cs="Arial"/>
                <w:sz w:val="20"/>
                <w:szCs w:val="20"/>
                <w:lang w:eastAsia="zh-TW"/>
              </w:rPr>
            </w:pPr>
            <w:r>
              <w:rPr>
                <w:rFonts w:ascii="Calibri" w:eastAsia="PMingLiU" w:hAnsi="Calibri" w:cs="Arial"/>
                <w:sz w:val="20"/>
                <w:szCs w:val="20"/>
                <w:lang w:eastAsia="zh-TW"/>
              </w:rPr>
              <w:t>No</w:t>
            </w:r>
          </w:p>
        </w:tc>
      </w:tr>
      <w:tr w:rsidR="008955BA" w:rsidRPr="001D02FD" w14:paraId="10CD0DC5" w14:textId="77777777" w:rsidTr="009E1179">
        <w:tc>
          <w:tcPr>
            <w:tcW w:w="6096" w:type="dxa"/>
            <w:shd w:val="clear" w:color="auto" w:fill="D9D9D9"/>
          </w:tcPr>
          <w:p w14:paraId="7853961B" w14:textId="77777777"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Would the body be interested in taking on a supporting role for provision of support, in partnership with another SAI / INTOSAI body which acts as the lead responsible body? (E.g. an emerging provider partnering with a mature provider).</w:t>
            </w:r>
          </w:p>
        </w:tc>
        <w:tc>
          <w:tcPr>
            <w:tcW w:w="4111" w:type="dxa"/>
          </w:tcPr>
          <w:p w14:paraId="39B2860A" w14:textId="6E63F940" w:rsidR="008955BA" w:rsidRPr="001D02FD" w:rsidRDefault="00163182" w:rsidP="008955BA">
            <w:pPr>
              <w:rPr>
                <w:rFonts w:ascii="Calibri" w:eastAsia="PMingLiU" w:hAnsi="Calibri" w:cs="Arial"/>
                <w:sz w:val="20"/>
                <w:szCs w:val="20"/>
                <w:lang w:eastAsia="zh-TW"/>
              </w:rPr>
            </w:pPr>
            <w:r>
              <w:rPr>
                <w:rFonts w:ascii="Calibri" w:eastAsia="PMingLiU" w:hAnsi="Calibri" w:cs="Arial"/>
                <w:sz w:val="20"/>
                <w:szCs w:val="20"/>
                <w:lang w:eastAsia="zh-TW"/>
              </w:rPr>
              <w:t>Yes</w:t>
            </w:r>
          </w:p>
        </w:tc>
      </w:tr>
      <w:tr w:rsidR="00622442" w:rsidRPr="001D02FD" w14:paraId="48D7F238" w14:textId="77777777" w:rsidTr="009E1179">
        <w:tc>
          <w:tcPr>
            <w:tcW w:w="6096" w:type="dxa"/>
            <w:shd w:val="clear" w:color="auto" w:fill="D9D9D9"/>
          </w:tcPr>
          <w:p w14:paraId="4A5B3440" w14:textId="5F414BD2" w:rsidR="00622442" w:rsidRPr="001D02FD" w:rsidRDefault="00622442" w:rsidP="008955BA">
            <w:pPr>
              <w:numPr>
                <w:ilvl w:val="0"/>
                <w:numId w:val="20"/>
              </w:numPr>
              <w:contextualSpacing/>
              <w:rPr>
                <w:rFonts w:ascii="Calibri" w:eastAsia="PMingLiU" w:hAnsi="Calibri" w:cs="Arial"/>
                <w:i/>
                <w:iCs/>
                <w:lang w:eastAsia="zh-TW"/>
              </w:rPr>
            </w:pPr>
            <w:r>
              <w:rPr>
                <w:rFonts w:ascii="Calibri" w:eastAsia="PMingLiU" w:hAnsi="Calibri" w:cs="Arial"/>
                <w:i/>
                <w:iCs/>
                <w:lang w:eastAsia="zh-TW"/>
              </w:rPr>
              <w:t>In order to supp</w:t>
            </w:r>
            <w:r w:rsidR="00254132">
              <w:rPr>
                <w:rFonts w:ascii="Calibri" w:eastAsia="PMingLiU" w:hAnsi="Calibri" w:cs="Arial"/>
                <w:i/>
                <w:iCs/>
                <w:lang w:eastAsia="zh-TW"/>
              </w:rPr>
              <w:t>ort a capacity building project</w:t>
            </w:r>
            <w:r>
              <w:rPr>
                <w:rFonts w:ascii="Calibri" w:eastAsia="PMingLiU" w:hAnsi="Calibri" w:cs="Arial"/>
                <w:i/>
                <w:iCs/>
                <w:lang w:eastAsia="zh-TW"/>
              </w:rPr>
              <w:t xml:space="preserve"> in a peer SAI, how long in advance does this need to be planned to incorporate it into the SAI’s annual work plan</w:t>
            </w:r>
            <w:r w:rsidR="009E1179">
              <w:rPr>
                <w:rFonts w:ascii="Calibri" w:eastAsia="PMingLiU" w:hAnsi="Calibri" w:cs="Arial"/>
                <w:i/>
                <w:iCs/>
                <w:lang w:eastAsia="zh-TW"/>
              </w:rPr>
              <w:t>?</w:t>
            </w:r>
          </w:p>
        </w:tc>
        <w:tc>
          <w:tcPr>
            <w:tcW w:w="4111" w:type="dxa"/>
          </w:tcPr>
          <w:p w14:paraId="27F04D73" w14:textId="44DB4851" w:rsidR="00622442" w:rsidRPr="001D02FD" w:rsidRDefault="00104E40" w:rsidP="008955BA">
            <w:pPr>
              <w:rPr>
                <w:rFonts w:ascii="Calibri" w:eastAsia="PMingLiU" w:hAnsi="Calibri" w:cs="Arial"/>
                <w:sz w:val="20"/>
                <w:szCs w:val="20"/>
                <w:lang w:eastAsia="zh-TW"/>
              </w:rPr>
            </w:pPr>
            <w:r>
              <w:rPr>
                <w:rFonts w:ascii="Calibri" w:eastAsia="PMingLiU" w:hAnsi="Calibri" w:cs="Arial"/>
                <w:sz w:val="20"/>
                <w:szCs w:val="20"/>
                <w:lang w:eastAsia="zh-TW"/>
              </w:rPr>
              <w:t>Preferably half a year in advance</w:t>
            </w:r>
            <w:r w:rsidR="00622442" w:rsidRPr="00622442">
              <w:rPr>
                <w:rFonts w:ascii="Calibri" w:eastAsia="PMingLiU" w:hAnsi="Calibri" w:cs="Arial"/>
                <w:sz w:val="20"/>
                <w:szCs w:val="20"/>
                <w:lang w:eastAsia="zh-TW"/>
              </w:rPr>
              <w:tab/>
            </w:r>
          </w:p>
        </w:tc>
      </w:tr>
      <w:tr w:rsidR="008955BA" w:rsidRPr="001D02FD" w14:paraId="41CA39FF" w14:textId="77777777" w:rsidTr="009E1179">
        <w:tc>
          <w:tcPr>
            <w:tcW w:w="6096" w:type="dxa"/>
            <w:shd w:val="clear" w:color="auto" w:fill="D9D9D9"/>
          </w:tcPr>
          <w:p w14:paraId="2595F3C4" w14:textId="67069B51" w:rsidR="008955BA" w:rsidRPr="001D02FD" w:rsidRDefault="008955BA" w:rsidP="008955BA">
            <w:pPr>
              <w:numPr>
                <w:ilvl w:val="0"/>
                <w:numId w:val="20"/>
              </w:numPr>
              <w:contextualSpacing/>
              <w:rPr>
                <w:rFonts w:ascii="Calibri" w:eastAsia="PMingLiU" w:hAnsi="Calibri" w:cs="Arial"/>
                <w:i/>
                <w:iCs/>
                <w:lang w:eastAsia="zh-TW"/>
              </w:rPr>
            </w:pPr>
            <w:r w:rsidRPr="001D02FD">
              <w:rPr>
                <w:rFonts w:ascii="Calibri" w:eastAsia="PMingLiU" w:hAnsi="Calibri" w:cs="Arial"/>
                <w:i/>
                <w:iCs/>
                <w:lang w:eastAsia="zh-TW"/>
              </w:rPr>
              <w:t>Please include any additional information relating to the body as a potential provider of support to initiatives under the GCP</w:t>
            </w:r>
            <w:r w:rsidR="009E1179">
              <w:rPr>
                <w:rFonts w:ascii="Calibri" w:eastAsia="PMingLiU" w:hAnsi="Calibri" w:cs="Arial"/>
                <w:i/>
                <w:iCs/>
                <w:lang w:eastAsia="zh-TW"/>
              </w:rPr>
              <w:t>.</w:t>
            </w:r>
          </w:p>
        </w:tc>
        <w:tc>
          <w:tcPr>
            <w:tcW w:w="4111" w:type="dxa"/>
          </w:tcPr>
          <w:p w14:paraId="04B57EB3" w14:textId="77777777" w:rsidR="008955BA" w:rsidRPr="001D02FD" w:rsidRDefault="008955BA" w:rsidP="008955BA">
            <w:pPr>
              <w:rPr>
                <w:rFonts w:ascii="Calibri" w:eastAsia="PMingLiU" w:hAnsi="Calibri" w:cs="Arial"/>
                <w:sz w:val="20"/>
                <w:szCs w:val="20"/>
                <w:lang w:eastAsia="zh-TW"/>
              </w:rPr>
            </w:pPr>
          </w:p>
        </w:tc>
      </w:tr>
    </w:tbl>
    <w:p w14:paraId="3DA0C841" w14:textId="5C2F2E4B" w:rsidR="001D02FD" w:rsidRPr="001D02FD" w:rsidRDefault="00B92C6F" w:rsidP="00B92C6F">
      <w:pPr>
        <w:spacing w:before="240" w:after="160" w:line="259" w:lineRule="auto"/>
        <w:ind w:left="360"/>
        <w:contextualSpacing/>
        <w:rPr>
          <w:rFonts w:ascii="Calibri" w:eastAsia="PMingLiU" w:hAnsi="Calibri" w:cs="Arial"/>
          <w:u w:val="single"/>
          <w:lang w:eastAsia="zh-TW"/>
        </w:rPr>
      </w:pPr>
      <w:r>
        <w:rPr>
          <w:rFonts w:ascii="Calibri" w:eastAsia="PMingLiU" w:hAnsi="Calibri" w:cs="Arial"/>
          <w:u w:val="single"/>
          <w:lang w:eastAsia="zh-TW"/>
        </w:rPr>
        <w:br w:type="page"/>
      </w:r>
    </w:p>
    <w:p w14:paraId="061FC27C" w14:textId="5638CB61" w:rsidR="008955BA" w:rsidRDefault="008955BA" w:rsidP="008955BA">
      <w:pPr>
        <w:numPr>
          <w:ilvl w:val="0"/>
          <w:numId w:val="19"/>
        </w:numPr>
        <w:spacing w:before="240" w:after="160" w:line="259" w:lineRule="auto"/>
        <w:contextualSpacing/>
        <w:rPr>
          <w:rFonts w:ascii="Calibri" w:eastAsia="PMingLiU" w:hAnsi="Calibri" w:cs="Arial"/>
          <w:u w:val="single"/>
          <w:lang w:eastAsia="zh-TW"/>
        </w:rPr>
      </w:pPr>
      <w:r w:rsidRPr="001D02FD">
        <w:rPr>
          <w:rFonts w:ascii="Calibri" w:eastAsia="PMingLiU" w:hAnsi="Calibri" w:cs="Arial"/>
          <w:u w:val="single"/>
          <w:lang w:eastAsia="zh-TW"/>
        </w:rPr>
        <w:lastRenderedPageBreak/>
        <w:t>Capability Statement</w:t>
      </w:r>
    </w:p>
    <w:p w14:paraId="5BDF1976" w14:textId="77777777" w:rsidR="00C408A8" w:rsidRDefault="00C408A8" w:rsidP="00C408A8">
      <w:pPr>
        <w:spacing w:before="240" w:after="160" w:line="259" w:lineRule="auto"/>
        <w:contextualSpacing/>
        <w:rPr>
          <w:rFonts w:ascii="Calibri" w:eastAsia="PMingLiU" w:hAnsi="Calibri" w:cs="Arial"/>
          <w:u w:val="single"/>
          <w:lang w:eastAsia="zh-TW"/>
        </w:rPr>
      </w:pPr>
    </w:p>
    <w:p w14:paraId="1697200A" w14:textId="7B798126" w:rsidR="008955BA" w:rsidRDefault="008955BA" w:rsidP="008955BA">
      <w:pPr>
        <w:numPr>
          <w:ilvl w:val="0"/>
          <w:numId w:val="21"/>
        </w:numPr>
        <w:spacing w:after="160" w:line="259" w:lineRule="auto"/>
        <w:contextualSpacing/>
        <w:rPr>
          <w:rFonts w:ascii="Calibri" w:eastAsia="PMingLiU" w:hAnsi="Calibri" w:cs="Arial"/>
          <w:lang w:eastAsia="zh-TW"/>
        </w:rPr>
      </w:pPr>
      <w:r w:rsidRPr="001D02FD">
        <w:rPr>
          <w:rFonts w:ascii="Calibri" w:eastAsia="PMingLiU" w:hAnsi="Calibri" w:cs="Arial"/>
          <w:b/>
          <w:bCs/>
          <w:lang w:eastAsia="zh-TW"/>
        </w:rPr>
        <w:t>Short description of the organisation</w:t>
      </w:r>
      <w:r w:rsidRPr="001D02FD">
        <w:rPr>
          <w:rFonts w:ascii="Calibri" w:eastAsia="PMingLiU" w:hAnsi="Calibri" w:cs="Arial"/>
          <w:lang w:eastAsia="zh-TW"/>
        </w:rPr>
        <w:t xml:space="preserve"> </w:t>
      </w:r>
    </w:p>
    <w:p w14:paraId="7F5C7EAB" w14:textId="77777777" w:rsidR="00C408A8" w:rsidRDefault="00C408A8" w:rsidP="00C408A8">
      <w:pPr>
        <w:spacing w:after="160" w:line="259" w:lineRule="auto"/>
        <w:contextualSpacing/>
        <w:rPr>
          <w:rFonts w:ascii="Calibri" w:eastAsia="PMingLiU" w:hAnsi="Calibri" w:cs="Arial"/>
          <w:lang w:eastAsia="zh-TW"/>
        </w:rPr>
      </w:pPr>
    </w:p>
    <w:p w14:paraId="5745FFD3" w14:textId="5701EFDA" w:rsidR="00C408A8" w:rsidRPr="00E76190" w:rsidRDefault="00C408A8" w:rsidP="00C408A8">
      <w:pPr>
        <w:spacing w:after="120" w:line="240" w:lineRule="auto"/>
        <w:jc w:val="both"/>
        <w:rPr>
          <w:rFonts w:cs="Times New Roman"/>
          <w:szCs w:val="24"/>
        </w:rPr>
      </w:pPr>
      <w:r w:rsidRPr="002E7A88">
        <w:rPr>
          <w:rFonts w:cs="Times New Roman"/>
          <w:szCs w:val="24"/>
        </w:rPr>
        <w:t xml:space="preserve">The </w:t>
      </w:r>
      <w:r w:rsidR="00CD7A9F">
        <w:rPr>
          <w:rFonts w:cs="Times New Roman"/>
          <w:szCs w:val="24"/>
        </w:rPr>
        <w:t>SAO of Latvia</w:t>
      </w:r>
      <w:r>
        <w:rPr>
          <w:rFonts w:cs="Times New Roman"/>
          <w:szCs w:val="24"/>
        </w:rPr>
        <w:t xml:space="preserve"> </w:t>
      </w:r>
      <w:r w:rsidRPr="002E7A88">
        <w:rPr>
          <w:rFonts w:cs="Times New Roman"/>
          <w:szCs w:val="24"/>
        </w:rPr>
        <w:t xml:space="preserve">is one of six </w:t>
      </w:r>
      <w:r w:rsidRPr="00E76190">
        <w:rPr>
          <w:rFonts w:cs="Times New Roman"/>
          <w:szCs w:val="24"/>
        </w:rPr>
        <w:t xml:space="preserve">constitutional bodies </w:t>
      </w:r>
      <w:r>
        <w:rPr>
          <w:rFonts w:cs="Times New Roman"/>
          <w:szCs w:val="24"/>
        </w:rPr>
        <w:t xml:space="preserve">in Latvia. </w:t>
      </w:r>
      <w:r w:rsidR="00CD7A9F">
        <w:rPr>
          <w:rFonts w:cs="Times New Roman"/>
          <w:szCs w:val="24"/>
        </w:rPr>
        <w:t>It</w:t>
      </w:r>
      <w:r w:rsidRPr="002E7A88">
        <w:rPr>
          <w:rFonts w:cs="Times New Roman"/>
          <w:szCs w:val="24"/>
        </w:rPr>
        <w:t xml:space="preserve"> is an independent colleg</w:t>
      </w:r>
      <w:r>
        <w:rPr>
          <w:rFonts w:cs="Times New Roman"/>
          <w:szCs w:val="24"/>
        </w:rPr>
        <w:t xml:space="preserve">ial Supreme Audit Institution, </w:t>
      </w:r>
      <w:r w:rsidRPr="002E7A88">
        <w:rPr>
          <w:rFonts w:cs="Times New Roman"/>
          <w:szCs w:val="24"/>
        </w:rPr>
        <w:t xml:space="preserve">a key element in the State’s financial control system serving public interest by providing independent assurance on the </w:t>
      </w:r>
      <w:r w:rsidRPr="00E76190">
        <w:rPr>
          <w:rFonts w:cs="Times New Roman"/>
          <w:szCs w:val="24"/>
        </w:rPr>
        <w:t xml:space="preserve">economic, efficient and effective </w:t>
      </w:r>
      <w:r w:rsidRPr="002E7A88">
        <w:rPr>
          <w:rFonts w:cs="Times New Roman"/>
          <w:szCs w:val="24"/>
        </w:rPr>
        <w:t>utilization of central and local government resources</w:t>
      </w:r>
      <w:r>
        <w:rPr>
          <w:rFonts w:cs="Times New Roman"/>
          <w:szCs w:val="24"/>
        </w:rPr>
        <w:t xml:space="preserve">, </w:t>
      </w:r>
      <w:r w:rsidRPr="00E76190">
        <w:rPr>
          <w:rFonts w:cs="Times New Roman"/>
          <w:szCs w:val="24"/>
        </w:rPr>
        <w:t>promoting sound financial management and transparent decision making process in the public sector.</w:t>
      </w:r>
    </w:p>
    <w:p w14:paraId="3374180C" w14:textId="77777777" w:rsidR="00C408A8" w:rsidRPr="00E76190" w:rsidRDefault="00C408A8" w:rsidP="00C408A8">
      <w:pPr>
        <w:spacing w:after="120" w:line="240" w:lineRule="auto"/>
        <w:jc w:val="both"/>
        <w:rPr>
          <w:rFonts w:cs="Times New Roman"/>
          <w:szCs w:val="24"/>
        </w:rPr>
      </w:pPr>
      <w:r>
        <w:rPr>
          <w:rFonts w:cs="Times New Roman"/>
          <w:szCs w:val="24"/>
        </w:rPr>
        <w:t xml:space="preserve">In order to reach its objectives, the SAO of Latvia performs financial, compliance and performance audits </w:t>
      </w:r>
      <w:r w:rsidRPr="0038079A">
        <w:rPr>
          <w:rFonts w:cs="Times New Roman"/>
          <w:szCs w:val="24"/>
        </w:rPr>
        <w:t xml:space="preserve">in compliance with </w:t>
      </w:r>
      <w:r w:rsidRPr="00D44B2F">
        <w:rPr>
          <w:rFonts w:cs="Times New Roman"/>
          <w:szCs w:val="24"/>
        </w:rPr>
        <w:t>International Standards of Supreme Audit Institutions</w:t>
      </w:r>
      <w:r>
        <w:rPr>
          <w:rFonts w:cs="Times New Roman"/>
          <w:szCs w:val="24"/>
        </w:rPr>
        <w:t xml:space="preserve"> (</w:t>
      </w:r>
      <w:r w:rsidRPr="0038079A">
        <w:rPr>
          <w:rFonts w:cs="Times New Roman"/>
          <w:szCs w:val="24"/>
        </w:rPr>
        <w:t>ISSAI</w:t>
      </w:r>
      <w:r>
        <w:rPr>
          <w:rFonts w:cs="Times New Roman"/>
          <w:szCs w:val="24"/>
        </w:rPr>
        <w:t xml:space="preserve">). </w:t>
      </w:r>
      <w:r w:rsidRPr="00E76190">
        <w:rPr>
          <w:rFonts w:cs="Times New Roman"/>
          <w:szCs w:val="24"/>
        </w:rPr>
        <w:t xml:space="preserve">This was confirmed by the peer-review carried out in 2015 in accordance with the ISSAI 5600 (peer-reviewers: SAIs of Slovakia, </w:t>
      </w:r>
      <w:r>
        <w:rPr>
          <w:rFonts w:cs="Times New Roman"/>
          <w:szCs w:val="24"/>
        </w:rPr>
        <w:t xml:space="preserve">Netherlands, Denmark, USA, Poland and </w:t>
      </w:r>
      <w:r w:rsidRPr="00E76190">
        <w:rPr>
          <w:rFonts w:cs="Times New Roman"/>
          <w:szCs w:val="24"/>
        </w:rPr>
        <w:t xml:space="preserve">European Court of Auditors).  </w:t>
      </w:r>
    </w:p>
    <w:p w14:paraId="07CB4866" w14:textId="77777777" w:rsidR="00C408A8" w:rsidRDefault="00C408A8" w:rsidP="00C408A8">
      <w:pPr>
        <w:spacing w:after="120" w:line="240" w:lineRule="auto"/>
        <w:rPr>
          <w:rFonts w:cs="Times New Roman"/>
          <w:szCs w:val="24"/>
        </w:rPr>
      </w:pPr>
      <w:r>
        <w:rPr>
          <w:rFonts w:cs="Times New Roman"/>
          <w:szCs w:val="24"/>
        </w:rPr>
        <w:t xml:space="preserve">More information about the SAO of Latvia can be found at its webpage – </w:t>
      </w:r>
      <w:hyperlink r:id="rId9" w:history="1">
        <w:r w:rsidRPr="00361993">
          <w:rPr>
            <w:rStyle w:val="Hipersaite"/>
            <w:rFonts w:cs="Times New Roman"/>
            <w:szCs w:val="24"/>
          </w:rPr>
          <w:t>http://www.lrvk.gov.lv/en/</w:t>
        </w:r>
      </w:hyperlink>
      <w:r>
        <w:rPr>
          <w:rFonts w:cs="Times New Roman"/>
          <w:szCs w:val="24"/>
        </w:rPr>
        <w:t xml:space="preserve"> or by watching the video – </w:t>
      </w:r>
      <w:hyperlink r:id="rId10" w:history="1">
        <w:r w:rsidRPr="004B251E">
          <w:rPr>
            <w:rStyle w:val="Hipersaite"/>
            <w:rFonts w:cs="Times New Roman"/>
            <w:szCs w:val="24"/>
            <w:lang w:val="en-US"/>
          </w:rPr>
          <w:t>https://www.youtube.com/watch?v=5kQOXAVRA-0</w:t>
        </w:r>
      </w:hyperlink>
      <w:r>
        <w:rPr>
          <w:rFonts w:cs="Times New Roman"/>
          <w:szCs w:val="24"/>
        </w:rPr>
        <w:t xml:space="preserve">. </w:t>
      </w:r>
    </w:p>
    <w:p w14:paraId="3EB4DEDF" w14:textId="77777777" w:rsidR="008955BA" w:rsidRPr="001D02FD" w:rsidRDefault="008955BA" w:rsidP="008955BA">
      <w:pPr>
        <w:spacing w:after="160" w:line="259" w:lineRule="auto"/>
        <w:ind w:left="720"/>
        <w:contextualSpacing/>
        <w:rPr>
          <w:rFonts w:ascii="Calibri" w:eastAsia="PMingLiU" w:hAnsi="Calibri" w:cs="Arial"/>
          <w:lang w:eastAsia="zh-TW"/>
        </w:rPr>
      </w:pPr>
    </w:p>
    <w:p w14:paraId="3BD6F68A" w14:textId="6F4DEAF4" w:rsidR="008955BA" w:rsidRPr="00C408A8" w:rsidRDefault="008955BA" w:rsidP="008955BA">
      <w:pPr>
        <w:numPr>
          <w:ilvl w:val="0"/>
          <w:numId w:val="21"/>
        </w:numPr>
        <w:spacing w:after="0" w:line="259" w:lineRule="auto"/>
        <w:contextualSpacing/>
        <w:rPr>
          <w:rFonts w:ascii="Calibri" w:eastAsia="PMingLiU" w:hAnsi="Calibri" w:cs="Arial"/>
          <w:lang w:eastAsia="zh-TW"/>
        </w:rPr>
      </w:pPr>
      <w:r w:rsidRPr="001D02FD">
        <w:rPr>
          <w:rFonts w:ascii="Calibri" w:eastAsia="PMingLiU" w:hAnsi="Calibri" w:cs="Arial"/>
          <w:b/>
          <w:bCs/>
          <w:lang w:eastAsia="zh-TW"/>
        </w:rPr>
        <w:t>Core areas of capacity development support offered</w:t>
      </w:r>
    </w:p>
    <w:p w14:paraId="106D2FE8" w14:textId="77777777" w:rsidR="00C408A8" w:rsidRPr="00C408A8" w:rsidRDefault="00C408A8" w:rsidP="00C408A8">
      <w:pPr>
        <w:spacing w:after="0" w:line="259" w:lineRule="auto"/>
        <w:ind w:left="720"/>
        <w:contextualSpacing/>
        <w:rPr>
          <w:rFonts w:ascii="Calibri" w:eastAsia="PMingLiU" w:hAnsi="Calibri" w:cs="Arial"/>
          <w:lang w:eastAsia="zh-TW"/>
        </w:rPr>
      </w:pPr>
    </w:p>
    <w:p w14:paraId="1B3B9073" w14:textId="18BF3E75" w:rsidR="00C408A8" w:rsidRDefault="00C408A8" w:rsidP="00C408A8">
      <w:pPr>
        <w:spacing w:after="0" w:line="259" w:lineRule="auto"/>
        <w:contextualSpacing/>
        <w:rPr>
          <w:rFonts w:ascii="Calibri" w:eastAsia="PMingLiU" w:hAnsi="Calibri" w:cs="Arial"/>
          <w:bCs/>
          <w:sz w:val="20"/>
          <w:szCs w:val="20"/>
          <w:lang w:eastAsia="zh-TW"/>
        </w:rPr>
      </w:pPr>
      <w:r w:rsidRPr="00C408A8">
        <w:rPr>
          <w:rFonts w:ascii="Calibri" w:eastAsia="PMingLiU" w:hAnsi="Calibri" w:cs="Arial"/>
          <w:bCs/>
          <w:sz w:val="20"/>
          <w:szCs w:val="20"/>
          <w:lang w:eastAsia="zh-TW"/>
        </w:rPr>
        <w:t>Technical Areas:</w:t>
      </w:r>
    </w:p>
    <w:p w14:paraId="13854E16" w14:textId="77777777" w:rsidR="00C408A8" w:rsidRPr="00C408A8" w:rsidRDefault="00C408A8" w:rsidP="00C408A8">
      <w:pPr>
        <w:spacing w:after="0" w:line="259" w:lineRule="auto"/>
        <w:contextualSpacing/>
        <w:rPr>
          <w:rFonts w:ascii="Calibri" w:eastAsia="PMingLiU" w:hAnsi="Calibri" w:cs="Arial"/>
          <w:bCs/>
          <w:sz w:val="20"/>
          <w:szCs w:val="20"/>
          <w:lang w:eastAsia="zh-TW"/>
        </w:rPr>
      </w:pPr>
    </w:p>
    <w:p w14:paraId="579A7591" w14:textId="433349CC" w:rsidR="00C408A8" w:rsidRPr="00C408A8" w:rsidRDefault="00C408A8" w:rsidP="00C408A8">
      <w:pPr>
        <w:pStyle w:val="Sarakstarindkopa"/>
        <w:numPr>
          <w:ilvl w:val="0"/>
          <w:numId w:val="25"/>
        </w:numPr>
        <w:spacing w:after="0" w:line="259" w:lineRule="auto"/>
        <w:rPr>
          <w:rFonts w:ascii="Calibri" w:eastAsia="PMingLiU" w:hAnsi="Calibri" w:cs="Arial"/>
          <w:bCs/>
          <w:sz w:val="20"/>
          <w:szCs w:val="20"/>
          <w:lang w:val="en-US" w:eastAsia="zh-TW"/>
        </w:rPr>
      </w:pPr>
      <w:r w:rsidRPr="00C408A8">
        <w:rPr>
          <w:rFonts w:ascii="Calibri" w:eastAsia="PMingLiU" w:hAnsi="Calibri" w:cs="Arial"/>
          <w:sz w:val="20"/>
          <w:szCs w:val="20"/>
          <w:lang w:val="en-US" w:eastAsia="zh-TW"/>
        </w:rPr>
        <w:t xml:space="preserve">ISSAI </w:t>
      </w:r>
      <w:r>
        <w:rPr>
          <w:rFonts w:ascii="Calibri" w:eastAsia="PMingLiU" w:hAnsi="Calibri" w:cs="Arial"/>
          <w:sz w:val="20"/>
          <w:szCs w:val="20"/>
          <w:lang w:val="en-US" w:eastAsia="zh-TW"/>
        </w:rPr>
        <w:t>i</w:t>
      </w:r>
      <w:r w:rsidRPr="00C408A8">
        <w:rPr>
          <w:rFonts w:ascii="Calibri" w:eastAsia="PMingLiU" w:hAnsi="Calibri" w:cs="Arial"/>
          <w:sz w:val="20"/>
          <w:szCs w:val="20"/>
          <w:lang w:val="en-US" w:eastAsia="zh-TW"/>
        </w:rPr>
        <w:t>mplementation</w:t>
      </w:r>
      <w:r>
        <w:rPr>
          <w:rFonts w:ascii="Calibri" w:eastAsia="PMingLiU" w:hAnsi="Calibri" w:cs="Arial"/>
          <w:sz w:val="20"/>
          <w:szCs w:val="20"/>
          <w:lang w:val="en-US" w:eastAsia="zh-TW"/>
        </w:rPr>
        <w:t xml:space="preserve"> in conduct of f</w:t>
      </w:r>
      <w:r w:rsidRPr="00C408A8">
        <w:rPr>
          <w:rFonts w:ascii="Calibri" w:eastAsia="PMingLiU" w:hAnsi="Calibri" w:cs="Arial"/>
          <w:sz w:val="20"/>
          <w:szCs w:val="20"/>
          <w:lang w:val="en-US" w:eastAsia="zh-TW"/>
        </w:rPr>
        <w:t xml:space="preserve">inancial, </w:t>
      </w:r>
      <w:r>
        <w:rPr>
          <w:rFonts w:ascii="Calibri" w:eastAsia="PMingLiU" w:hAnsi="Calibri" w:cs="Arial"/>
          <w:sz w:val="20"/>
          <w:szCs w:val="20"/>
          <w:lang w:val="en-US" w:eastAsia="zh-TW"/>
        </w:rPr>
        <w:t>p</w:t>
      </w:r>
      <w:r w:rsidRPr="00C408A8">
        <w:rPr>
          <w:rFonts w:ascii="Calibri" w:eastAsia="PMingLiU" w:hAnsi="Calibri" w:cs="Arial"/>
          <w:sz w:val="20"/>
          <w:szCs w:val="20"/>
          <w:lang w:val="en-US" w:eastAsia="zh-TW"/>
        </w:rPr>
        <w:t>erformance</w:t>
      </w:r>
      <w:r>
        <w:rPr>
          <w:rFonts w:ascii="Calibri" w:eastAsia="PMingLiU" w:hAnsi="Calibri" w:cs="Arial"/>
          <w:sz w:val="20"/>
          <w:szCs w:val="20"/>
          <w:lang w:val="en-US" w:eastAsia="zh-TW"/>
        </w:rPr>
        <w:t xml:space="preserve"> and</w:t>
      </w:r>
      <w:r w:rsidRPr="00C408A8">
        <w:rPr>
          <w:rFonts w:ascii="Calibri" w:eastAsia="PMingLiU" w:hAnsi="Calibri" w:cs="Arial"/>
          <w:sz w:val="20"/>
          <w:szCs w:val="20"/>
          <w:lang w:val="en-US" w:eastAsia="zh-TW"/>
        </w:rPr>
        <w:t xml:space="preserve"> </w:t>
      </w:r>
      <w:r>
        <w:rPr>
          <w:rFonts w:ascii="Calibri" w:eastAsia="PMingLiU" w:hAnsi="Calibri" w:cs="Arial"/>
          <w:sz w:val="20"/>
          <w:szCs w:val="20"/>
          <w:lang w:val="en-US" w:eastAsia="zh-TW"/>
        </w:rPr>
        <w:t>c</w:t>
      </w:r>
      <w:r w:rsidRPr="00C408A8">
        <w:rPr>
          <w:rFonts w:ascii="Calibri" w:eastAsia="PMingLiU" w:hAnsi="Calibri" w:cs="Arial"/>
          <w:sz w:val="20"/>
          <w:szCs w:val="20"/>
          <w:lang w:val="en-US" w:eastAsia="zh-TW"/>
        </w:rPr>
        <w:t xml:space="preserve">ompliance </w:t>
      </w:r>
      <w:r>
        <w:rPr>
          <w:rFonts w:ascii="Calibri" w:eastAsia="PMingLiU" w:hAnsi="Calibri" w:cs="Arial"/>
          <w:sz w:val="20"/>
          <w:szCs w:val="20"/>
          <w:lang w:val="en-US" w:eastAsia="zh-TW"/>
        </w:rPr>
        <w:t>a</w:t>
      </w:r>
      <w:r w:rsidRPr="00C408A8">
        <w:rPr>
          <w:rFonts w:ascii="Calibri" w:eastAsia="PMingLiU" w:hAnsi="Calibri" w:cs="Arial"/>
          <w:sz w:val="20"/>
          <w:szCs w:val="20"/>
          <w:lang w:val="en-US" w:eastAsia="zh-TW"/>
        </w:rPr>
        <w:t>udit</w:t>
      </w:r>
      <w:r>
        <w:rPr>
          <w:rFonts w:ascii="Calibri" w:eastAsia="PMingLiU" w:hAnsi="Calibri" w:cs="Arial"/>
          <w:sz w:val="20"/>
          <w:szCs w:val="20"/>
          <w:lang w:val="en-US" w:eastAsia="zh-TW"/>
        </w:rPr>
        <w:t>s</w:t>
      </w:r>
      <w:r w:rsidRPr="00C408A8">
        <w:rPr>
          <w:rFonts w:ascii="Calibri" w:eastAsia="PMingLiU" w:hAnsi="Calibri" w:cs="Arial"/>
          <w:sz w:val="20"/>
          <w:szCs w:val="20"/>
          <w:lang w:val="en-US" w:eastAsia="zh-TW"/>
        </w:rPr>
        <w:t xml:space="preserve"> (</w:t>
      </w:r>
      <w:r>
        <w:rPr>
          <w:rFonts w:ascii="Calibri" w:eastAsia="PMingLiU" w:hAnsi="Calibri" w:cs="Arial"/>
          <w:sz w:val="20"/>
          <w:szCs w:val="20"/>
          <w:lang w:val="en-US" w:eastAsia="zh-TW"/>
        </w:rPr>
        <w:t>the SAO of Latvia and</w:t>
      </w:r>
      <w:r w:rsidRPr="00C408A8">
        <w:rPr>
          <w:rFonts w:ascii="Calibri" w:eastAsia="PMingLiU" w:hAnsi="Calibri" w:cs="Arial"/>
          <w:sz w:val="20"/>
          <w:szCs w:val="20"/>
          <w:lang w:val="en-US" w:eastAsia="zh-TW"/>
        </w:rPr>
        <w:t xml:space="preserve"> its staff have experience </w:t>
      </w:r>
      <w:r>
        <w:rPr>
          <w:rFonts w:ascii="Calibri" w:eastAsia="PMingLiU" w:hAnsi="Calibri" w:cs="Arial"/>
          <w:sz w:val="20"/>
          <w:szCs w:val="20"/>
          <w:lang w:val="en-US" w:eastAsia="zh-TW"/>
        </w:rPr>
        <w:t>in</w:t>
      </w:r>
      <w:r w:rsidRPr="00C408A8">
        <w:rPr>
          <w:rFonts w:ascii="Calibri" w:eastAsia="PMingLiU" w:hAnsi="Calibri" w:cs="Arial"/>
          <w:sz w:val="20"/>
          <w:szCs w:val="20"/>
          <w:lang w:val="en-US" w:eastAsia="zh-TW"/>
        </w:rPr>
        <w:t xml:space="preserve"> conducting ISSAI based </w:t>
      </w:r>
      <w:r>
        <w:rPr>
          <w:rFonts w:ascii="Calibri" w:eastAsia="PMingLiU" w:hAnsi="Calibri" w:cs="Arial"/>
          <w:sz w:val="20"/>
          <w:szCs w:val="20"/>
          <w:lang w:val="en-US" w:eastAsia="zh-TW"/>
        </w:rPr>
        <w:t>audits in each audit discipline</w:t>
      </w:r>
      <w:r w:rsidRPr="00C408A8">
        <w:rPr>
          <w:rFonts w:ascii="Calibri" w:eastAsia="PMingLiU" w:hAnsi="Calibri" w:cs="Arial"/>
          <w:sz w:val="20"/>
          <w:szCs w:val="20"/>
          <w:lang w:val="en-US" w:eastAsia="zh-TW"/>
        </w:rPr>
        <w:t xml:space="preserve"> </w:t>
      </w:r>
      <w:r>
        <w:rPr>
          <w:rFonts w:ascii="Calibri" w:eastAsia="PMingLiU" w:hAnsi="Calibri" w:cs="Arial"/>
          <w:sz w:val="20"/>
          <w:szCs w:val="20"/>
          <w:lang w:val="en-US" w:eastAsia="zh-TW"/>
        </w:rPr>
        <w:t xml:space="preserve">and in </w:t>
      </w:r>
      <w:r w:rsidRPr="00C408A8">
        <w:rPr>
          <w:rFonts w:ascii="Calibri" w:eastAsia="PMingLiU" w:hAnsi="Calibri" w:cs="Arial"/>
          <w:sz w:val="20"/>
          <w:szCs w:val="20"/>
          <w:lang w:val="en-US" w:eastAsia="zh-TW"/>
        </w:rPr>
        <w:t>supporting others to adopt and implement ISSAI based audits</w:t>
      </w:r>
      <w:r>
        <w:rPr>
          <w:rFonts w:ascii="Calibri" w:eastAsia="PMingLiU" w:hAnsi="Calibri" w:cs="Arial"/>
          <w:sz w:val="20"/>
          <w:szCs w:val="20"/>
          <w:lang w:val="en-US" w:eastAsia="zh-TW"/>
        </w:rPr>
        <w:t>),</w:t>
      </w:r>
    </w:p>
    <w:p w14:paraId="135DF8DD" w14:textId="52BFAD79" w:rsidR="00C408A8" w:rsidRPr="00C408A8" w:rsidRDefault="00C408A8" w:rsidP="00C408A8">
      <w:pPr>
        <w:pStyle w:val="Sarakstarindkopa"/>
        <w:numPr>
          <w:ilvl w:val="0"/>
          <w:numId w:val="25"/>
        </w:numPr>
        <w:spacing w:after="0" w:line="259" w:lineRule="auto"/>
        <w:rPr>
          <w:rFonts w:ascii="Calibri" w:eastAsia="PMingLiU" w:hAnsi="Calibri" w:cs="Arial"/>
          <w:bCs/>
          <w:sz w:val="20"/>
          <w:szCs w:val="20"/>
          <w:lang w:val="en-US" w:eastAsia="zh-TW"/>
        </w:rPr>
      </w:pPr>
      <w:r w:rsidRPr="001D02FD">
        <w:rPr>
          <w:rFonts w:ascii="Calibri" w:eastAsia="PMingLiU" w:hAnsi="Calibri" w:cs="Arial"/>
          <w:sz w:val="20"/>
          <w:szCs w:val="20"/>
          <w:lang w:eastAsia="zh-TW"/>
        </w:rPr>
        <w:t xml:space="preserve">Internal governance and </w:t>
      </w:r>
      <w:r>
        <w:rPr>
          <w:rFonts w:ascii="Calibri" w:eastAsia="PMingLiU" w:hAnsi="Calibri" w:cs="Arial"/>
          <w:sz w:val="20"/>
          <w:szCs w:val="20"/>
          <w:lang w:eastAsia="zh-TW"/>
        </w:rPr>
        <w:t>strategic planning,</w:t>
      </w:r>
    </w:p>
    <w:p w14:paraId="412DC257" w14:textId="7B2997FB" w:rsidR="00C408A8" w:rsidRPr="00C408A8" w:rsidRDefault="00C408A8" w:rsidP="00C408A8">
      <w:pPr>
        <w:pStyle w:val="Sarakstarindkopa"/>
        <w:numPr>
          <w:ilvl w:val="0"/>
          <w:numId w:val="25"/>
        </w:numPr>
        <w:spacing w:after="0" w:line="259" w:lineRule="auto"/>
        <w:rPr>
          <w:rFonts w:ascii="Calibri" w:eastAsia="PMingLiU" w:hAnsi="Calibri" w:cs="Arial"/>
          <w:bCs/>
          <w:sz w:val="20"/>
          <w:szCs w:val="20"/>
          <w:lang w:eastAsia="zh-TW"/>
        </w:rPr>
      </w:pPr>
      <w:r w:rsidRPr="00C408A8">
        <w:rPr>
          <w:rFonts w:ascii="Calibri" w:eastAsia="PMingLiU" w:hAnsi="Calibri" w:cs="Arial"/>
          <w:bCs/>
          <w:sz w:val="20"/>
          <w:szCs w:val="20"/>
          <w:lang w:eastAsia="zh-TW"/>
        </w:rPr>
        <w:t xml:space="preserve">Independence and </w:t>
      </w:r>
      <w:r>
        <w:rPr>
          <w:rFonts w:ascii="Calibri" w:eastAsia="PMingLiU" w:hAnsi="Calibri" w:cs="Arial"/>
          <w:bCs/>
          <w:sz w:val="20"/>
          <w:szCs w:val="20"/>
          <w:lang w:eastAsia="zh-TW"/>
        </w:rPr>
        <w:t>legal f</w:t>
      </w:r>
      <w:r w:rsidRPr="00C408A8">
        <w:rPr>
          <w:rFonts w:ascii="Calibri" w:eastAsia="PMingLiU" w:hAnsi="Calibri" w:cs="Arial"/>
          <w:bCs/>
          <w:sz w:val="20"/>
          <w:szCs w:val="20"/>
          <w:lang w:eastAsia="zh-TW"/>
        </w:rPr>
        <w:t>ramework,</w:t>
      </w:r>
    </w:p>
    <w:p w14:paraId="2ECEE8A4" w14:textId="2C1D8DB5" w:rsidR="00C408A8" w:rsidRPr="00D45BF2" w:rsidRDefault="00C408A8" w:rsidP="00C408A8">
      <w:pPr>
        <w:pStyle w:val="Sarakstarindkopa"/>
        <w:numPr>
          <w:ilvl w:val="0"/>
          <w:numId w:val="25"/>
        </w:numPr>
        <w:spacing w:after="0" w:line="259" w:lineRule="auto"/>
        <w:rPr>
          <w:rFonts w:ascii="Calibri" w:eastAsia="PMingLiU" w:hAnsi="Calibri" w:cs="Arial"/>
          <w:bCs/>
          <w:sz w:val="20"/>
          <w:szCs w:val="20"/>
          <w:lang w:val="en-US" w:eastAsia="zh-TW"/>
        </w:rPr>
      </w:pPr>
      <w:r>
        <w:rPr>
          <w:rFonts w:ascii="Calibri" w:eastAsia="PMingLiU" w:hAnsi="Calibri" w:cs="Arial"/>
          <w:sz w:val="20"/>
          <w:szCs w:val="20"/>
          <w:lang w:eastAsia="zh-TW"/>
        </w:rPr>
        <w:t xml:space="preserve">Specialised audit areas - IT audit, audit of </w:t>
      </w:r>
      <w:r w:rsidRPr="00C408A8">
        <w:rPr>
          <w:rFonts w:ascii="Calibri" w:eastAsia="PMingLiU" w:hAnsi="Calibri" w:cs="Arial"/>
          <w:sz w:val="20"/>
          <w:szCs w:val="20"/>
          <w:lang w:eastAsia="zh-TW"/>
        </w:rPr>
        <w:t>group financial statements</w:t>
      </w:r>
      <w:r>
        <w:rPr>
          <w:rFonts w:ascii="Calibri" w:eastAsia="PMingLiU" w:hAnsi="Calibri" w:cs="Arial"/>
          <w:sz w:val="20"/>
          <w:szCs w:val="20"/>
          <w:lang w:eastAsia="zh-TW"/>
        </w:rPr>
        <w:t>,</w:t>
      </w:r>
    </w:p>
    <w:p w14:paraId="147072A0" w14:textId="38EA2E62" w:rsidR="00983115" w:rsidRPr="00C408A8" w:rsidRDefault="00983115" w:rsidP="00C408A8">
      <w:pPr>
        <w:pStyle w:val="Sarakstarindkopa"/>
        <w:numPr>
          <w:ilvl w:val="0"/>
          <w:numId w:val="25"/>
        </w:numPr>
        <w:spacing w:after="0" w:line="259" w:lineRule="auto"/>
        <w:rPr>
          <w:rFonts w:ascii="Calibri" w:eastAsia="PMingLiU" w:hAnsi="Calibri" w:cs="Arial"/>
          <w:bCs/>
          <w:sz w:val="20"/>
          <w:szCs w:val="20"/>
          <w:lang w:val="en-US" w:eastAsia="zh-TW"/>
        </w:rPr>
      </w:pPr>
      <w:r>
        <w:rPr>
          <w:rFonts w:ascii="Calibri" w:eastAsia="PMingLiU" w:hAnsi="Calibri" w:cs="Arial"/>
          <w:sz w:val="20"/>
          <w:szCs w:val="20"/>
          <w:lang w:eastAsia="zh-TW"/>
        </w:rPr>
        <w:t>Quality control, including hot and cold review methodologies,</w:t>
      </w:r>
    </w:p>
    <w:p w14:paraId="345943EB" w14:textId="043A5D3C" w:rsidR="00C408A8" w:rsidRPr="00C408A8" w:rsidRDefault="00C408A8" w:rsidP="00C408A8">
      <w:pPr>
        <w:pStyle w:val="Sarakstarindkopa"/>
        <w:numPr>
          <w:ilvl w:val="0"/>
          <w:numId w:val="25"/>
        </w:numPr>
        <w:spacing w:after="0" w:line="259" w:lineRule="auto"/>
        <w:rPr>
          <w:rFonts w:ascii="Calibri" w:eastAsia="PMingLiU" w:hAnsi="Calibri" w:cs="Arial"/>
          <w:bCs/>
          <w:sz w:val="20"/>
          <w:szCs w:val="20"/>
          <w:lang w:val="en-US" w:eastAsia="zh-TW"/>
        </w:rPr>
      </w:pPr>
      <w:r>
        <w:rPr>
          <w:rFonts w:ascii="Calibri" w:eastAsia="PMingLiU" w:hAnsi="Calibri" w:cs="Arial"/>
          <w:sz w:val="20"/>
          <w:szCs w:val="20"/>
          <w:lang w:eastAsia="zh-TW"/>
        </w:rPr>
        <w:t>Human Resources and t</w:t>
      </w:r>
      <w:r w:rsidRPr="001D02FD">
        <w:rPr>
          <w:rFonts w:ascii="Calibri" w:eastAsia="PMingLiU" w:hAnsi="Calibri" w:cs="Arial"/>
          <w:sz w:val="20"/>
          <w:szCs w:val="20"/>
          <w:lang w:eastAsia="zh-TW"/>
        </w:rPr>
        <w:t>raining</w:t>
      </w:r>
      <w:r>
        <w:rPr>
          <w:rFonts w:ascii="Calibri" w:eastAsia="PMingLiU" w:hAnsi="Calibri" w:cs="Arial"/>
          <w:sz w:val="20"/>
          <w:szCs w:val="20"/>
          <w:lang w:eastAsia="zh-TW"/>
        </w:rPr>
        <w:t>,</w:t>
      </w:r>
    </w:p>
    <w:p w14:paraId="3D4455AD" w14:textId="2D908E32" w:rsidR="00C408A8" w:rsidRPr="00C408A8" w:rsidRDefault="00C408A8" w:rsidP="00C408A8">
      <w:pPr>
        <w:pStyle w:val="Sarakstarindkopa"/>
        <w:numPr>
          <w:ilvl w:val="0"/>
          <w:numId w:val="25"/>
        </w:numPr>
        <w:spacing w:after="0" w:line="259" w:lineRule="auto"/>
        <w:rPr>
          <w:rFonts w:ascii="Calibri" w:eastAsia="PMingLiU" w:hAnsi="Calibri" w:cs="Arial"/>
          <w:bCs/>
          <w:sz w:val="20"/>
          <w:szCs w:val="20"/>
          <w:lang w:val="en-US" w:eastAsia="zh-TW"/>
        </w:rPr>
      </w:pPr>
      <w:r w:rsidRPr="001D02FD">
        <w:rPr>
          <w:rFonts w:ascii="Calibri" w:eastAsia="PMingLiU" w:hAnsi="Calibri" w:cs="Arial"/>
          <w:sz w:val="20"/>
          <w:szCs w:val="20"/>
          <w:lang w:eastAsia="zh-TW"/>
        </w:rPr>
        <w:t xml:space="preserve">Communication and </w:t>
      </w:r>
      <w:r>
        <w:rPr>
          <w:rFonts w:ascii="Calibri" w:eastAsia="PMingLiU" w:hAnsi="Calibri" w:cs="Arial"/>
          <w:sz w:val="20"/>
          <w:szCs w:val="20"/>
          <w:lang w:eastAsia="zh-TW"/>
        </w:rPr>
        <w:t>s</w:t>
      </w:r>
      <w:r w:rsidRPr="001D02FD">
        <w:rPr>
          <w:rFonts w:ascii="Calibri" w:eastAsia="PMingLiU" w:hAnsi="Calibri" w:cs="Arial"/>
          <w:sz w:val="20"/>
          <w:szCs w:val="20"/>
          <w:lang w:eastAsia="zh-TW"/>
        </w:rPr>
        <w:t xml:space="preserve">takeholder </w:t>
      </w:r>
      <w:r>
        <w:rPr>
          <w:rFonts w:ascii="Calibri" w:eastAsia="PMingLiU" w:hAnsi="Calibri" w:cs="Arial"/>
          <w:sz w:val="20"/>
          <w:szCs w:val="20"/>
          <w:lang w:eastAsia="zh-TW"/>
        </w:rPr>
        <w:t>m</w:t>
      </w:r>
      <w:r w:rsidRPr="001D02FD">
        <w:rPr>
          <w:rFonts w:ascii="Calibri" w:eastAsia="PMingLiU" w:hAnsi="Calibri" w:cs="Arial"/>
          <w:sz w:val="20"/>
          <w:szCs w:val="20"/>
          <w:lang w:eastAsia="zh-TW"/>
        </w:rPr>
        <w:t>anagement</w:t>
      </w:r>
      <w:r>
        <w:rPr>
          <w:rFonts w:ascii="Calibri" w:eastAsia="PMingLiU" w:hAnsi="Calibri" w:cs="Arial"/>
          <w:sz w:val="20"/>
          <w:szCs w:val="20"/>
          <w:lang w:eastAsia="zh-TW"/>
        </w:rPr>
        <w:t>.</w:t>
      </w:r>
    </w:p>
    <w:p w14:paraId="15DDF177" w14:textId="77777777" w:rsidR="008955BA" w:rsidRPr="001D02FD" w:rsidRDefault="008955BA" w:rsidP="008955BA">
      <w:pPr>
        <w:spacing w:after="160" w:line="259" w:lineRule="auto"/>
        <w:ind w:left="720"/>
        <w:contextualSpacing/>
        <w:rPr>
          <w:rFonts w:ascii="Calibri" w:eastAsia="PMingLiU" w:hAnsi="Calibri" w:cs="Arial"/>
          <w:lang w:eastAsia="zh-TW"/>
        </w:rPr>
      </w:pPr>
    </w:p>
    <w:p w14:paraId="55421408" w14:textId="26F18AA0" w:rsidR="008955BA" w:rsidRPr="00C408A8" w:rsidRDefault="008955BA" w:rsidP="008955BA">
      <w:pPr>
        <w:numPr>
          <w:ilvl w:val="0"/>
          <w:numId w:val="21"/>
        </w:numPr>
        <w:spacing w:after="160" w:line="259" w:lineRule="auto"/>
        <w:contextualSpacing/>
        <w:rPr>
          <w:rFonts w:ascii="Calibri" w:eastAsia="PMingLiU" w:hAnsi="Calibri" w:cs="Arial"/>
          <w:lang w:eastAsia="zh-TW"/>
        </w:rPr>
      </w:pPr>
      <w:r w:rsidRPr="00C408A8">
        <w:rPr>
          <w:rFonts w:ascii="Calibri" w:eastAsia="PMingLiU" w:hAnsi="Calibri" w:cs="Arial"/>
          <w:b/>
          <w:bCs/>
          <w:lang w:eastAsia="zh-TW"/>
        </w:rPr>
        <w:t>Project History</w:t>
      </w:r>
    </w:p>
    <w:p w14:paraId="71FCC8C6" w14:textId="77777777" w:rsidR="00C408A8" w:rsidRDefault="00C408A8" w:rsidP="00C408A8">
      <w:pPr>
        <w:spacing w:after="160" w:line="259" w:lineRule="auto"/>
        <w:contextualSpacing/>
        <w:rPr>
          <w:rFonts w:ascii="Calibri" w:eastAsia="PMingLiU" w:hAnsi="Calibri" w:cs="Arial"/>
          <w:b/>
          <w:bCs/>
          <w:lang w:eastAsia="zh-TW"/>
        </w:rPr>
      </w:pPr>
    </w:p>
    <w:p w14:paraId="09AF3E2F" w14:textId="005B612F" w:rsidR="00C408A8" w:rsidRDefault="00C408A8" w:rsidP="00BF0912">
      <w:pPr>
        <w:pStyle w:val="Sarakstarindkopa"/>
        <w:numPr>
          <w:ilvl w:val="0"/>
          <w:numId w:val="26"/>
        </w:numPr>
        <w:spacing w:after="160" w:line="259" w:lineRule="auto"/>
        <w:jc w:val="both"/>
        <w:rPr>
          <w:rFonts w:ascii="Calibri" w:eastAsia="PMingLiU" w:hAnsi="Calibri" w:cs="Arial"/>
          <w:lang w:val="en-US" w:eastAsia="zh-TW"/>
        </w:rPr>
      </w:pPr>
      <w:r w:rsidRPr="00BF0912">
        <w:rPr>
          <w:rFonts w:ascii="Calibri" w:eastAsia="PMingLiU" w:hAnsi="Calibri" w:cs="Arial"/>
          <w:u w:val="single"/>
          <w:lang w:val="en-US" w:eastAsia="zh-TW"/>
        </w:rPr>
        <w:t>Capacity building of the Georgian, Moldovan and Ukrainian SAIs in enhanced application of the Inter</w:t>
      </w:r>
      <w:r w:rsidR="008B6554">
        <w:rPr>
          <w:rFonts w:ascii="Calibri" w:eastAsia="PMingLiU" w:hAnsi="Calibri" w:cs="Arial"/>
          <w:u w:val="single"/>
          <w:lang w:val="en-US" w:eastAsia="zh-TW"/>
        </w:rPr>
        <w:t xml:space="preserve">national Standards of Auditing </w:t>
      </w:r>
      <w:r w:rsidR="00CD7A9F">
        <w:rPr>
          <w:rFonts w:ascii="Calibri" w:eastAsia="PMingLiU" w:hAnsi="Calibri" w:cs="Arial"/>
          <w:u w:val="single"/>
          <w:lang w:val="en-US" w:eastAsia="zh-TW"/>
        </w:rPr>
        <w:t xml:space="preserve">or </w:t>
      </w:r>
      <w:r w:rsidR="008B6554">
        <w:rPr>
          <w:rFonts w:ascii="Calibri" w:eastAsia="PMingLiU" w:hAnsi="Calibri" w:cs="Arial"/>
          <w:u w:val="single"/>
          <w:lang w:val="en-US" w:eastAsia="zh-TW"/>
        </w:rPr>
        <w:t>ISSAI (EU Eastern Partnership project).</w:t>
      </w:r>
      <w:r w:rsidR="00BF0912" w:rsidRPr="00BF0912">
        <w:rPr>
          <w:rFonts w:ascii="Calibri" w:eastAsia="PMingLiU" w:hAnsi="Calibri" w:cs="Arial"/>
          <w:lang w:val="en-US" w:eastAsia="zh-TW"/>
        </w:rPr>
        <w:t xml:space="preserve"> The project was funded by the Ministry of Foreign Affairs of the Republic of Latvia and implemented with the support of the Swedish National Audit Office. Within the framework of the project </w:t>
      </w:r>
      <w:r w:rsidR="008B6554" w:rsidRPr="008B6554">
        <w:rPr>
          <w:rFonts w:ascii="Calibri" w:eastAsia="PMingLiU" w:hAnsi="Calibri" w:cs="Arial"/>
          <w:lang w:eastAsia="zh-TW"/>
        </w:rPr>
        <w:t>4 experience exchange seminars were organized in Georgia, Moldova and Ukraine in 2016, as well as the Forum of the EU Eastern Partnership SAI took place in Riga in the fall of 2016</w:t>
      </w:r>
      <w:r w:rsidR="00BF0912">
        <w:rPr>
          <w:rFonts w:ascii="Calibri" w:eastAsia="PMingLiU" w:hAnsi="Calibri" w:cs="Arial"/>
          <w:lang w:val="en-US" w:eastAsia="zh-TW"/>
        </w:rPr>
        <w:t xml:space="preserve">. (The project was </w:t>
      </w:r>
      <w:r w:rsidR="00BF0912">
        <w:rPr>
          <w:rFonts w:ascii="Calibri" w:eastAsia="PMingLiU" w:hAnsi="Calibri" w:cs="Arial"/>
          <w:lang w:val="en-US" w:eastAsia="zh-TW"/>
        </w:rPr>
        <w:lastRenderedPageBreak/>
        <w:t xml:space="preserve">rated as </w:t>
      </w:r>
      <w:r w:rsidR="00BF0912" w:rsidRPr="00BF0912">
        <w:rPr>
          <w:rFonts w:ascii="Calibri" w:eastAsia="PMingLiU" w:hAnsi="Calibri" w:cs="Arial"/>
          <w:lang w:val="en-US" w:eastAsia="zh-TW"/>
        </w:rPr>
        <w:t>having substantial institutional development</w:t>
      </w:r>
      <w:r w:rsidR="00BF0912">
        <w:rPr>
          <w:rFonts w:ascii="Calibri" w:eastAsia="PMingLiU" w:hAnsi="Calibri" w:cs="Arial"/>
          <w:lang w:val="en-US" w:eastAsia="zh-TW"/>
        </w:rPr>
        <w:t xml:space="preserve">; therefore it was decided to extend </w:t>
      </w:r>
      <w:r w:rsidR="008B6554">
        <w:rPr>
          <w:rFonts w:ascii="Calibri" w:eastAsia="PMingLiU" w:hAnsi="Calibri" w:cs="Arial"/>
          <w:lang w:val="en-US" w:eastAsia="zh-TW"/>
        </w:rPr>
        <w:t>it</w:t>
      </w:r>
      <w:r w:rsidR="00BF0912">
        <w:rPr>
          <w:rFonts w:ascii="Calibri" w:eastAsia="PMingLiU" w:hAnsi="Calibri" w:cs="Arial"/>
          <w:lang w:val="en-US" w:eastAsia="zh-TW"/>
        </w:rPr>
        <w:t xml:space="preserve"> also to </w:t>
      </w:r>
      <w:r w:rsidR="008B6554">
        <w:rPr>
          <w:rFonts w:ascii="Calibri" w:eastAsia="PMingLiU" w:hAnsi="Calibri" w:cs="Arial"/>
          <w:lang w:val="en-US" w:eastAsia="zh-TW"/>
        </w:rPr>
        <w:t xml:space="preserve">year </w:t>
      </w:r>
      <w:r w:rsidR="00BF0912">
        <w:rPr>
          <w:rFonts w:ascii="Calibri" w:eastAsia="PMingLiU" w:hAnsi="Calibri" w:cs="Arial"/>
          <w:lang w:val="en-US" w:eastAsia="zh-TW"/>
        </w:rPr>
        <w:t xml:space="preserve">2017).  </w:t>
      </w:r>
    </w:p>
    <w:p w14:paraId="697B75C8" w14:textId="77777777" w:rsidR="002C0367" w:rsidRDefault="002C0367" w:rsidP="002C0367">
      <w:pPr>
        <w:pStyle w:val="Sarakstarindkopa"/>
        <w:spacing w:after="160" w:line="259" w:lineRule="auto"/>
        <w:jc w:val="both"/>
        <w:rPr>
          <w:rFonts w:ascii="Calibri" w:eastAsia="PMingLiU" w:hAnsi="Calibri" w:cs="Arial"/>
          <w:lang w:val="en-US" w:eastAsia="zh-TW"/>
        </w:rPr>
      </w:pPr>
    </w:p>
    <w:p w14:paraId="47D8E293" w14:textId="26550466" w:rsidR="002C0367" w:rsidRDefault="002C0367" w:rsidP="002C0367">
      <w:pPr>
        <w:pStyle w:val="Sarakstarindkopa"/>
        <w:numPr>
          <w:ilvl w:val="0"/>
          <w:numId w:val="26"/>
        </w:numPr>
        <w:spacing w:after="160" w:line="259" w:lineRule="auto"/>
        <w:jc w:val="both"/>
        <w:rPr>
          <w:rFonts w:ascii="Calibri" w:eastAsia="PMingLiU" w:hAnsi="Calibri" w:cs="Arial"/>
          <w:lang w:val="en-US" w:eastAsia="zh-TW"/>
        </w:rPr>
      </w:pPr>
      <w:r w:rsidRPr="002C0367">
        <w:rPr>
          <w:rFonts w:ascii="Calibri" w:eastAsia="PMingLiU" w:hAnsi="Calibri" w:cs="Arial"/>
          <w:u w:val="single"/>
          <w:lang w:val="en-US" w:eastAsia="zh-TW"/>
        </w:rPr>
        <w:t>Suppor</w:t>
      </w:r>
      <w:r>
        <w:rPr>
          <w:rFonts w:ascii="Calibri" w:eastAsia="PMingLiU" w:hAnsi="Calibri" w:cs="Arial"/>
          <w:u w:val="single"/>
          <w:lang w:val="en-US" w:eastAsia="zh-TW"/>
        </w:rPr>
        <w:t>t to State Audit Office of Vietn</w:t>
      </w:r>
      <w:r w:rsidRPr="002C0367">
        <w:rPr>
          <w:rFonts w:ascii="Calibri" w:eastAsia="PMingLiU" w:hAnsi="Calibri" w:cs="Arial"/>
          <w:u w:val="single"/>
          <w:lang w:val="en-US" w:eastAsia="zh-TW"/>
        </w:rPr>
        <w:t>am to improve the accountability, transparency and oversight of public financial management activities</w:t>
      </w:r>
      <w:r>
        <w:rPr>
          <w:rFonts w:ascii="Calibri" w:eastAsia="PMingLiU" w:hAnsi="Calibri" w:cs="Arial"/>
          <w:lang w:val="en-US" w:eastAsia="zh-TW"/>
        </w:rPr>
        <w:t xml:space="preserve"> (</w:t>
      </w:r>
      <w:r w:rsidRPr="002C0367">
        <w:rPr>
          <w:rFonts w:ascii="Calibri" w:eastAsia="PMingLiU" w:hAnsi="Calibri" w:cs="Arial"/>
          <w:lang w:val="en-US" w:eastAsia="zh-TW"/>
        </w:rPr>
        <w:t>EU-SECO grant</w:t>
      </w:r>
      <w:r>
        <w:rPr>
          <w:rFonts w:ascii="Calibri" w:eastAsia="PMingLiU" w:hAnsi="Calibri" w:cs="Arial"/>
          <w:lang w:val="en-US" w:eastAsia="zh-TW"/>
        </w:rPr>
        <w:t>). I</w:t>
      </w:r>
      <w:r w:rsidRPr="002C0367">
        <w:rPr>
          <w:rFonts w:ascii="Calibri" w:eastAsia="PMingLiU" w:hAnsi="Calibri" w:cs="Arial"/>
          <w:lang w:val="en-US" w:eastAsia="zh-TW"/>
        </w:rPr>
        <w:t xml:space="preserve">nstitutional peer-to-peer project between EU Supreme Audit Institutions and the </w:t>
      </w:r>
      <w:r>
        <w:rPr>
          <w:rFonts w:ascii="Calibri" w:eastAsia="PMingLiU" w:hAnsi="Calibri" w:cs="Arial"/>
          <w:lang w:val="en-US" w:eastAsia="zh-TW"/>
        </w:rPr>
        <w:t>SAI of</w:t>
      </w:r>
      <w:r w:rsidRPr="002C0367">
        <w:rPr>
          <w:rFonts w:ascii="Calibri" w:eastAsia="PMingLiU" w:hAnsi="Calibri" w:cs="Arial"/>
          <w:lang w:val="en-US" w:eastAsia="zh-TW"/>
        </w:rPr>
        <w:t xml:space="preserve"> Vietnam</w:t>
      </w:r>
      <w:r>
        <w:rPr>
          <w:rFonts w:ascii="Calibri" w:eastAsia="PMingLiU" w:hAnsi="Calibri" w:cs="Arial"/>
          <w:lang w:val="en-US" w:eastAsia="zh-TW"/>
        </w:rPr>
        <w:t xml:space="preserve"> (project start – 2017, duration – 4.5 years). </w:t>
      </w:r>
    </w:p>
    <w:p w14:paraId="2696879C" w14:textId="77777777" w:rsidR="002C0367" w:rsidRPr="002C0367" w:rsidRDefault="002C0367" w:rsidP="002C0367">
      <w:pPr>
        <w:pStyle w:val="Sarakstarindkopa"/>
        <w:spacing w:after="160" w:line="259" w:lineRule="auto"/>
        <w:jc w:val="both"/>
        <w:rPr>
          <w:rFonts w:ascii="Calibri" w:eastAsia="PMingLiU" w:hAnsi="Calibri" w:cs="Arial"/>
          <w:lang w:val="en-US" w:eastAsia="zh-TW"/>
        </w:rPr>
      </w:pPr>
    </w:p>
    <w:p w14:paraId="0BBF019D" w14:textId="2EB5F921" w:rsidR="00BF0912" w:rsidRDefault="00983115" w:rsidP="007112AF">
      <w:pPr>
        <w:pStyle w:val="Sarakstarindkopa"/>
        <w:numPr>
          <w:ilvl w:val="0"/>
          <w:numId w:val="26"/>
        </w:numPr>
        <w:spacing w:after="160" w:line="259" w:lineRule="auto"/>
        <w:jc w:val="both"/>
        <w:rPr>
          <w:rFonts w:ascii="Calibri" w:eastAsia="PMingLiU" w:hAnsi="Calibri" w:cs="Arial"/>
          <w:lang w:val="en-US" w:eastAsia="zh-TW"/>
        </w:rPr>
      </w:pPr>
      <w:r>
        <w:rPr>
          <w:rFonts w:ascii="Calibri" w:eastAsia="PMingLiU" w:hAnsi="Calibri" w:cs="Arial"/>
          <w:u w:val="single"/>
          <w:lang w:val="en-US" w:eastAsia="zh-TW"/>
        </w:rPr>
        <w:t xml:space="preserve">Support to </w:t>
      </w:r>
      <w:r w:rsidR="007112AF" w:rsidRPr="007112AF">
        <w:rPr>
          <w:rFonts w:ascii="Calibri" w:eastAsia="PMingLiU" w:hAnsi="Calibri" w:cs="Arial"/>
          <w:u w:val="single"/>
          <w:lang w:val="en-US" w:eastAsia="zh-TW"/>
        </w:rPr>
        <w:t xml:space="preserve">public </w:t>
      </w:r>
      <w:r>
        <w:rPr>
          <w:rFonts w:ascii="Calibri" w:eastAsia="PMingLiU" w:hAnsi="Calibri" w:cs="Arial"/>
          <w:u w:val="single"/>
          <w:lang w:val="en-US" w:eastAsia="zh-TW"/>
        </w:rPr>
        <w:t>institution</w:t>
      </w:r>
      <w:r w:rsidR="007112AF" w:rsidRPr="007112AF">
        <w:rPr>
          <w:rFonts w:ascii="Calibri" w:eastAsia="PMingLiU" w:hAnsi="Calibri" w:cs="Arial"/>
          <w:u w:val="single"/>
          <w:lang w:val="en-US" w:eastAsia="zh-TW"/>
        </w:rPr>
        <w:t>s of the Republic of Tajikistan within the framework of</w:t>
      </w:r>
      <w:r w:rsidR="007112AF" w:rsidRPr="007112AF">
        <w:rPr>
          <w:u w:val="single"/>
        </w:rPr>
        <w:t xml:space="preserve"> </w:t>
      </w:r>
      <w:r w:rsidR="007112AF" w:rsidRPr="007112AF">
        <w:rPr>
          <w:rFonts w:ascii="Calibri" w:eastAsia="PMingLiU" w:hAnsi="Calibri" w:cs="Arial"/>
          <w:u w:val="single"/>
          <w:lang w:val="en-US" w:eastAsia="zh-TW"/>
        </w:rPr>
        <w:t>“Public Financial Modernization Management” project</w:t>
      </w:r>
      <w:r w:rsidR="007112AF" w:rsidRPr="007112AF">
        <w:rPr>
          <w:rFonts w:ascii="Calibri" w:eastAsia="PMingLiU" w:hAnsi="Calibri" w:cs="Arial"/>
          <w:lang w:val="en-US" w:eastAsia="zh-TW"/>
        </w:rPr>
        <w:t xml:space="preserve"> (funded by the World Bank)</w:t>
      </w:r>
      <w:r>
        <w:rPr>
          <w:rFonts w:ascii="Calibri" w:eastAsia="PMingLiU" w:hAnsi="Calibri" w:cs="Arial"/>
          <w:lang w:val="en-US" w:eastAsia="zh-TW"/>
        </w:rPr>
        <w:t xml:space="preserve"> in </w:t>
      </w:r>
      <w:r w:rsidR="007112AF" w:rsidRPr="007112AF">
        <w:rPr>
          <w:rFonts w:ascii="Calibri" w:eastAsia="PMingLiU" w:hAnsi="Calibri" w:cs="Arial"/>
          <w:lang w:val="en-US" w:eastAsia="zh-TW"/>
        </w:rPr>
        <w:t xml:space="preserve">2016; the representatives of the SAI of Tajikistan, Ministry of Finance of Tajikistan and the Permanent Representative of the World Bank in Tajikistan were introduced </w:t>
      </w:r>
      <w:r w:rsidR="00BB1DC1">
        <w:rPr>
          <w:rFonts w:ascii="Calibri" w:eastAsia="PMingLiU" w:hAnsi="Calibri" w:cs="Arial"/>
          <w:lang w:val="en-US" w:eastAsia="zh-TW"/>
        </w:rPr>
        <w:t>to</w:t>
      </w:r>
      <w:r w:rsidR="007112AF" w:rsidRPr="007112AF">
        <w:rPr>
          <w:rFonts w:ascii="Calibri" w:eastAsia="PMingLiU" w:hAnsi="Calibri" w:cs="Arial"/>
          <w:lang w:val="en-US" w:eastAsia="zh-TW"/>
        </w:rPr>
        <w:t xml:space="preserve"> the topics of ISSAI implementation, internal governance and strategic planning, independence and legal framework, human </w:t>
      </w:r>
      <w:r w:rsidR="00BB1DC1">
        <w:rPr>
          <w:rFonts w:ascii="Calibri" w:eastAsia="PMingLiU" w:hAnsi="Calibri" w:cs="Arial"/>
          <w:lang w:val="en-US" w:eastAsia="zh-TW"/>
        </w:rPr>
        <w:t>r</w:t>
      </w:r>
      <w:r w:rsidR="007112AF" w:rsidRPr="007112AF">
        <w:rPr>
          <w:rFonts w:ascii="Calibri" w:eastAsia="PMingLiU" w:hAnsi="Calibri" w:cs="Arial"/>
          <w:lang w:val="en-US" w:eastAsia="zh-TW"/>
        </w:rPr>
        <w:t>esources and training, as well as communication and stakeholder management</w:t>
      </w:r>
      <w:r w:rsidR="007112AF">
        <w:rPr>
          <w:rFonts w:ascii="Calibri" w:eastAsia="PMingLiU" w:hAnsi="Calibri" w:cs="Arial"/>
          <w:lang w:val="en-US" w:eastAsia="zh-TW"/>
        </w:rPr>
        <w:t>.</w:t>
      </w:r>
    </w:p>
    <w:p w14:paraId="1AE79391" w14:textId="77777777" w:rsidR="008B6554" w:rsidRDefault="008B6554" w:rsidP="008B6554">
      <w:pPr>
        <w:pStyle w:val="Sarakstarindkopa"/>
        <w:spacing w:after="160" w:line="259" w:lineRule="auto"/>
        <w:jc w:val="both"/>
        <w:rPr>
          <w:rFonts w:ascii="Calibri" w:eastAsia="PMingLiU" w:hAnsi="Calibri" w:cs="Arial"/>
          <w:lang w:val="en-US" w:eastAsia="zh-TW"/>
        </w:rPr>
      </w:pPr>
    </w:p>
    <w:p w14:paraId="03F3093C" w14:textId="162332BE" w:rsidR="008B6554" w:rsidRDefault="008B6554" w:rsidP="008B6554">
      <w:pPr>
        <w:pStyle w:val="Sarakstarindkopa"/>
        <w:numPr>
          <w:ilvl w:val="0"/>
          <w:numId w:val="26"/>
        </w:numPr>
        <w:spacing w:after="160" w:line="259" w:lineRule="auto"/>
        <w:jc w:val="both"/>
        <w:rPr>
          <w:rFonts w:ascii="Calibri" w:eastAsia="PMingLiU" w:hAnsi="Calibri" w:cs="Arial"/>
          <w:lang w:val="en-US" w:eastAsia="zh-TW"/>
        </w:rPr>
      </w:pPr>
      <w:r>
        <w:rPr>
          <w:rFonts w:ascii="Calibri" w:eastAsia="PMingLiU" w:hAnsi="Calibri" w:cs="Arial"/>
          <w:u w:val="single"/>
          <w:lang w:val="en-US" w:eastAsia="zh-TW"/>
        </w:rPr>
        <w:t xml:space="preserve">The ongoing </w:t>
      </w:r>
      <w:r w:rsidRPr="008B6554">
        <w:rPr>
          <w:rFonts w:ascii="Calibri" w:eastAsia="PMingLiU" w:hAnsi="Calibri" w:cs="Arial"/>
          <w:u w:val="single"/>
          <w:lang w:val="en-US" w:eastAsia="zh-TW"/>
        </w:rPr>
        <w:t xml:space="preserve">Institutional development cooperation project between the SAIs of Moldova, Georgia and the Swedish National Audit Office as </w:t>
      </w:r>
      <w:r w:rsidR="00BB1DC1">
        <w:rPr>
          <w:rFonts w:ascii="Calibri" w:eastAsia="PMingLiU" w:hAnsi="Calibri" w:cs="Arial"/>
          <w:u w:val="single"/>
          <w:lang w:val="en-US" w:eastAsia="zh-TW"/>
        </w:rPr>
        <w:t xml:space="preserve">a </w:t>
      </w:r>
      <w:r w:rsidRPr="008B6554">
        <w:rPr>
          <w:rFonts w:ascii="Calibri" w:eastAsia="PMingLiU" w:hAnsi="Calibri" w:cs="Arial"/>
          <w:u w:val="single"/>
          <w:lang w:val="en-US" w:eastAsia="zh-TW"/>
        </w:rPr>
        <w:t>donor organization</w:t>
      </w:r>
      <w:r>
        <w:rPr>
          <w:rFonts w:ascii="Calibri" w:eastAsia="PMingLiU" w:hAnsi="Calibri" w:cs="Arial"/>
          <w:lang w:val="en-US" w:eastAsia="zh-TW"/>
        </w:rPr>
        <w:t xml:space="preserve">. The SAO of Latvia has been actively involved in project activities since 2013 with a number of capacity development seminars taking place each year. The main focus of the project - </w:t>
      </w:r>
      <w:r w:rsidRPr="008B6554">
        <w:rPr>
          <w:rFonts w:ascii="Calibri" w:eastAsia="PMingLiU" w:hAnsi="Calibri" w:cs="Arial"/>
          <w:lang w:val="en-US" w:eastAsia="zh-TW"/>
        </w:rPr>
        <w:t xml:space="preserve">ISSAI implementation </w:t>
      </w:r>
      <w:r>
        <w:rPr>
          <w:rFonts w:ascii="Calibri" w:eastAsia="PMingLiU" w:hAnsi="Calibri" w:cs="Arial"/>
          <w:lang w:val="en-US" w:eastAsia="zh-TW"/>
        </w:rPr>
        <w:t>and</w:t>
      </w:r>
      <w:r w:rsidRPr="008B6554">
        <w:rPr>
          <w:rFonts w:ascii="Calibri" w:eastAsia="PMingLiU" w:hAnsi="Calibri" w:cs="Arial"/>
          <w:lang w:val="en-US" w:eastAsia="zh-TW"/>
        </w:rPr>
        <w:t xml:space="preserve"> conduct of financial, performance and compliance audits</w:t>
      </w:r>
      <w:r>
        <w:rPr>
          <w:rFonts w:ascii="Calibri" w:eastAsia="PMingLiU" w:hAnsi="Calibri" w:cs="Arial"/>
          <w:lang w:val="en-US" w:eastAsia="zh-TW"/>
        </w:rPr>
        <w:t xml:space="preserve">. (The SAO of Latvia was invited to take an active part in the project due to its </w:t>
      </w:r>
      <w:r w:rsidRPr="008B6554">
        <w:rPr>
          <w:rFonts w:ascii="Calibri" w:eastAsia="PMingLiU" w:hAnsi="Calibri" w:cs="Arial"/>
          <w:lang w:val="en-US" w:eastAsia="zh-TW"/>
        </w:rPr>
        <w:t>competitive advantage</w:t>
      </w:r>
      <w:r>
        <w:rPr>
          <w:rFonts w:ascii="Calibri" w:eastAsia="PMingLiU" w:hAnsi="Calibri" w:cs="Arial"/>
          <w:lang w:val="en-US" w:eastAsia="zh-TW"/>
        </w:rPr>
        <w:t xml:space="preserve">, as it </w:t>
      </w:r>
      <w:r w:rsidRPr="008B6554">
        <w:rPr>
          <w:rFonts w:ascii="Calibri" w:eastAsia="PMingLiU" w:hAnsi="Calibri" w:cs="Arial"/>
          <w:lang w:val="en-US" w:eastAsia="zh-TW"/>
        </w:rPr>
        <w:t xml:space="preserve">had </w:t>
      </w:r>
      <w:r>
        <w:rPr>
          <w:rFonts w:ascii="Calibri" w:eastAsia="PMingLiU" w:hAnsi="Calibri" w:cs="Arial"/>
          <w:lang w:val="en-US" w:eastAsia="zh-TW"/>
        </w:rPr>
        <w:t xml:space="preserve">already </w:t>
      </w:r>
      <w:r w:rsidRPr="008B6554">
        <w:rPr>
          <w:rFonts w:ascii="Calibri" w:eastAsia="PMingLiU" w:hAnsi="Calibri" w:cs="Arial"/>
          <w:lang w:val="en-US" w:eastAsia="zh-TW"/>
        </w:rPr>
        <w:t>gone through the reorganization process from “financial inspection” type of institution to modern and ISSAI compliant audit institution</w:t>
      </w:r>
      <w:r>
        <w:rPr>
          <w:rFonts w:ascii="Calibri" w:eastAsia="PMingLiU" w:hAnsi="Calibri" w:cs="Arial"/>
          <w:lang w:val="en-US" w:eastAsia="zh-TW"/>
        </w:rPr>
        <w:t>).</w:t>
      </w:r>
    </w:p>
    <w:p w14:paraId="679BF9C6" w14:textId="77777777" w:rsidR="008B6554" w:rsidRPr="008B6554" w:rsidRDefault="008B6554" w:rsidP="008B6554">
      <w:pPr>
        <w:pStyle w:val="Sarakstarindkopa"/>
        <w:rPr>
          <w:rFonts w:ascii="Calibri" w:eastAsia="PMingLiU" w:hAnsi="Calibri" w:cs="Arial"/>
          <w:lang w:val="en-US" w:eastAsia="zh-TW"/>
        </w:rPr>
      </w:pPr>
    </w:p>
    <w:p w14:paraId="5F2A1F86" w14:textId="44D533E2" w:rsidR="00B03EE8" w:rsidRPr="002C0367" w:rsidRDefault="002C0367" w:rsidP="002C0367">
      <w:pPr>
        <w:pStyle w:val="Sarakstarindkopa"/>
        <w:numPr>
          <w:ilvl w:val="0"/>
          <w:numId w:val="26"/>
        </w:numPr>
        <w:spacing w:after="160" w:line="259" w:lineRule="auto"/>
        <w:jc w:val="both"/>
        <w:rPr>
          <w:rFonts w:ascii="Calibri" w:eastAsia="PMingLiU" w:hAnsi="Calibri" w:cs="Arial"/>
          <w:lang w:val="en-US" w:eastAsia="zh-TW"/>
        </w:rPr>
      </w:pPr>
      <w:r w:rsidRPr="002C0367">
        <w:rPr>
          <w:rFonts w:ascii="Calibri" w:eastAsia="PMingLiU" w:hAnsi="Calibri" w:cs="Arial"/>
          <w:u w:val="single"/>
          <w:lang w:val="en-US" w:eastAsia="zh-TW"/>
        </w:rPr>
        <w:t>Strengthening of the Chamber of Accounts of the Kyrgyz Republic</w:t>
      </w:r>
      <w:r>
        <w:rPr>
          <w:rFonts w:ascii="Calibri" w:eastAsia="PMingLiU" w:hAnsi="Calibri" w:cs="Arial"/>
          <w:lang w:val="en-US" w:eastAsia="zh-TW"/>
        </w:rPr>
        <w:t xml:space="preserve"> (funded </w:t>
      </w:r>
      <w:r w:rsidRPr="002C0367">
        <w:rPr>
          <w:rFonts w:ascii="Calibri" w:eastAsia="PMingLiU" w:hAnsi="Calibri" w:cs="Arial"/>
          <w:lang w:val="en-US" w:eastAsia="zh-TW"/>
        </w:rPr>
        <w:t>under the Multi-Donor Programmatic Trust F</w:t>
      </w:r>
      <w:r>
        <w:rPr>
          <w:rFonts w:ascii="Calibri" w:eastAsia="PMingLiU" w:hAnsi="Calibri" w:cs="Arial"/>
          <w:lang w:val="en-US" w:eastAsia="zh-TW"/>
        </w:rPr>
        <w:t xml:space="preserve">und for Europe and Central Asia). During 2016 the representative of the SAO of Latvia acted as an </w:t>
      </w:r>
      <w:r w:rsidRPr="002C0367">
        <w:rPr>
          <w:rFonts w:ascii="Calibri" w:eastAsia="PMingLiU" w:hAnsi="Calibri" w:cs="Arial"/>
          <w:lang w:val="en-US" w:eastAsia="zh-TW"/>
        </w:rPr>
        <w:t>international consultant for quality control</w:t>
      </w:r>
      <w:r>
        <w:rPr>
          <w:rFonts w:ascii="Calibri" w:eastAsia="PMingLiU" w:hAnsi="Calibri" w:cs="Arial"/>
          <w:lang w:val="en-US" w:eastAsia="zh-TW"/>
        </w:rPr>
        <w:t>,</w:t>
      </w:r>
      <w:r w:rsidRPr="002C0367">
        <w:t xml:space="preserve"> </w:t>
      </w:r>
      <w:r w:rsidRPr="002C0367">
        <w:rPr>
          <w:rFonts w:ascii="Calibri" w:eastAsia="PMingLiU" w:hAnsi="Calibri" w:cs="Arial"/>
          <w:lang w:val="en-US" w:eastAsia="zh-TW"/>
        </w:rPr>
        <w:t>conducting quality control of</w:t>
      </w:r>
      <w:r>
        <w:rPr>
          <w:rFonts w:ascii="Calibri" w:eastAsia="PMingLiU" w:hAnsi="Calibri" w:cs="Arial"/>
          <w:lang w:val="en-US" w:eastAsia="zh-TW"/>
        </w:rPr>
        <w:t xml:space="preserve"> financial and compliance audit</w:t>
      </w:r>
      <w:r w:rsidRPr="002C0367">
        <w:rPr>
          <w:rFonts w:ascii="Calibri" w:eastAsia="PMingLiU" w:hAnsi="Calibri" w:cs="Arial"/>
          <w:lang w:val="en-US" w:eastAsia="zh-TW"/>
        </w:rPr>
        <w:t xml:space="preserve"> methodologies in conformity with International standards for Supreme Audit Institutions (ISSAIs) and in line with the international best practice</w:t>
      </w:r>
      <w:r w:rsidR="00BB1DC1">
        <w:rPr>
          <w:rFonts w:ascii="Calibri" w:eastAsia="PMingLiU" w:hAnsi="Calibri" w:cs="Arial"/>
          <w:lang w:val="en-US" w:eastAsia="zh-TW"/>
        </w:rPr>
        <w:t>, strategic and HRM documents and draft law on chamber of accounts</w:t>
      </w:r>
      <w:r>
        <w:rPr>
          <w:rFonts w:ascii="Calibri" w:eastAsia="PMingLiU" w:hAnsi="Calibri" w:cs="Arial"/>
          <w:lang w:val="en-US" w:eastAsia="zh-TW"/>
        </w:rPr>
        <w:t xml:space="preserve">, </w:t>
      </w:r>
      <w:r w:rsidRPr="002C0367">
        <w:rPr>
          <w:rFonts w:ascii="Calibri" w:eastAsia="PMingLiU" w:hAnsi="Calibri" w:cs="Arial"/>
          <w:lang w:val="en-US" w:eastAsia="zh-TW"/>
        </w:rPr>
        <w:t xml:space="preserve">developed </w:t>
      </w:r>
      <w:r>
        <w:rPr>
          <w:rFonts w:ascii="Calibri" w:eastAsia="PMingLiU" w:hAnsi="Calibri" w:cs="Arial"/>
          <w:lang w:val="en-US" w:eastAsia="zh-TW"/>
        </w:rPr>
        <w:t xml:space="preserve">by </w:t>
      </w:r>
      <w:r w:rsidRPr="002C0367">
        <w:rPr>
          <w:rFonts w:ascii="Calibri" w:eastAsia="PMingLiU" w:hAnsi="Calibri" w:cs="Arial"/>
          <w:lang w:val="en-US" w:eastAsia="zh-TW"/>
        </w:rPr>
        <w:t>KOSI Corporation for the Chamber of Accounts</w:t>
      </w:r>
      <w:r>
        <w:rPr>
          <w:rFonts w:ascii="Calibri" w:eastAsia="PMingLiU" w:hAnsi="Calibri" w:cs="Arial"/>
          <w:lang w:val="en-US" w:eastAsia="zh-TW"/>
        </w:rPr>
        <w:t xml:space="preserve"> of </w:t>
      </w:r>
      <w:r w:rsidRPr="002C0367">
        <w:rPr>
          <w:rFonts w:ascii="Calibri" w:eastAsia="PMingLiU" w:hAnsi="Calibri" w:cs="Arial"/>
          <w:lang w:val="en-US" w:eastAsia="zh-TW"/>
        </w:rPr>
        <w:t>the Kyrgyz Republic</w:t>
      </w:r>
      <w:r>
        <w:rPr>
          <w:rFonts w:ascii="Calibri" w:eastAsia="PMingLiU" w:hAnsi="Calibri" w:cs="Arial"/>
          <w:lang w:val="en-US" w:eastAsia="zh-TW"/>
        </w:rPr>
        <w:t>.</w:t>
      </w:r>
    </w:p>
    <w:p w14:paraId="56CF6AF1" w14:textId="77777777" w:rsidR="00B03EE8" w:rsidRDefault="00B03EE8" w:rsidP="00B03EE8">
      <w:pPr>
        <w:pStyle w:val="Sarakstarindkopa"/>
        <w:rPr>
          <w:rFonts w:ascii="Calibri" w:eastAsia="PMingLiU" w:hAnsi="Calibri" w:cs="Arial"/>
          <w:lang w:val="en-US" w:eastAsia="zh-TW"/>
        </w:rPr>
      </w:pPr>
    </w:p>
    <w:p w14:paraId="61007453" w14:textId="0149AA3A" w:rsidR="002C0367" w:rsidRDefault="00237616" w:rsidP="002C0367">
      <w:pPr>
        <w:pStyle w:val="Sarakstarindkopa"/>
        <w:numPr>
          <w:ilvl w:val="0"/>
          <w:numId w:val="26"/>
        </w:numPr>
        <w:spacing w:after="160" w:line="259" w:lineRule="auto"/>
        <w:jc w:val="both"/>
        <w:rPr>
          <w:rFonts w:ascii="Calibri" w:eastAsia="PMingLiU" w:hAnsi="Calibri" w:cs="Arial"/>
          <w:lang w:val="en-US" w:eastAsia="zh-TW"/>
        </w:rPr>
      </w:pPr>
      <w:r>
        <w:rPr>
          <w:rFonts w:ascii="Calibri" w:eastAsia="PMingLiU" w:hAnsi="Calibri" w:cs="Arial"/>
          <w:u w:val="single"/>
          <w:lang w:val="en-US" w:eastAsia="zh-TW"/>
        </w:rPr>
        <w:t>Peer-</w:t>
      </w:r>
      <w:r w:rsidR="002C0367" w:rsidRPr="00B03EE8">
        <w:rPr>
          <w:rFonts w:ascii="Calibri" w:eastAsia="PMingLiU" w:hAnsi="Calibri" w:cs="Arial"/>
          <w:u w:val="single"/>
          <w:lang w:val="en-US" w:eastAsia="zh-TW"/>
        </w:rPr>
        <w:t xml:space="preserve">review project of the SAI of </w:t>
      </w:r>
      <w:r w:rsidR="002C0367" w:rsidRPr="002C0367">
        <w:rPr>
          <w:rFonts w:ascii="Calibri" w:eastAsia="PMingLiU" w:hAnsi="Calibri" w:cs="Arial"/>
          <w:u w:val="single"/>
          <w:lang w:val="en-US" w:eastAsia="zh-TW"/>
        </w:rPr>
        <w:t>the Kyrgyz Republic</w:t>
      </w:r>
      <w:r w:rsidR="002C0367">
        <w:rPr>
          <w:rFonts w:ascii="Calibri" w:eastAsia="PMingLiU" w:hAnsi="Calibri" w:cs="Arial"/>
          <w:lang w:val="en-US" w:eastAsia="zh-TW"/>
        </w:rPr>
        <w:t xml:space="preserve">. In 2015 the SAO of Latvia took part in the </w:t>
      </w:r>
      <w:r>
        <w:rPr>
          <w:rFonts w:ascii="Calibri" w:eastAsia="PMingLiU" w:hAnsi="Calibri" w:cs="Arial"/>
          <w:lang w:val="en-US" w:eastAsia="zh-TW"/>
        </w:rPr>
        <w:t>p</w:t>
      </w:r>
      <w:r w:rsidR="002C0367" w:rsidRPr="00B03EE8">
        <w:rPr>
          <w:rFonts w:ascii="Calibri" w:eastAsia="PMingLiU" w:hAnsi="Calibri" w:cs="Arial"/>
          <w:lang w:val="en-US" w:eastAsia="zh-TW"/>
        </w:rPr>
        <w:t>eer</w:t>
      </w:r>
      <w:r>
        <w:rPr>
          <w:rFonts w:ascii="Calibri" w:eastAsia="PMingLiU" w:hAnsi="Calibri" w:cs="Arial"/>
          <w:lang w:val="en-US" w:eastAsia="zh-TW"/>
        </w:rPr>
        <w:t>-r</w:t>
      </w:r>
      <w:r w:rsidR="002C0367" w:rsidRPr="00B03EE8">
        <w:rPr>
          <w:rFonts w:ascii="Calibri" w:eastAsia="PMingLiU" w:hAnsi="Calibri" w:cs="Arial"/>
          <w:lang w:val="en-US" w:eastAsia="zh-TW"/>
        </w:rPr>
        <w:t>eview</w:t>
      </w:r>
      <w:r w:rsidR="002C0367" w:rsidRPr="00B03EE8">
        <w:t xml:space="preserve"> </w:t>
      </w:r>
      <w:r w:rsidR="002C0367" w:rsidRPr="00B03EE8">
        <w:rPr>
          <w:rFonts w:ascii="Calibri" w:eastAsia="PMingLiU" w:hAnsi="Calibri" w:cs="Arial"/>
          <w:lang w:val="en-US" w:eastAsia="zh-TW"/>
        </w:rPr>
        <w:t xml:space="preserve">of the Chamber of Accounts </w:t>
      </w:r>
      <w:r w:rsidR="002C0367">
        <w:rPr>
          <w:rFonts w:ascii="Calibri" w:eastAsia="PMingLiU" w:hAnsi="Calibri" w:cs="Arial"/>
          <w:lang w:val="en-US" w:eastAsia="zh-TW"/>
        </w:rPr>
        <w:t>of</w:t>
      </w:r>
      <w:r w:rsidR="002C0367" w:rsidRPr="00B03EE8">
        <w:rPr>
          <w:rFonts w:ascii="Calibri" w:eastAsia="PMingLiU" w:hAnsi="Calibri" w:cs="Arial"/>
          <w:lang w:val="en-US" w:eastAsia="zh-TW"/>
        </w:rPr>
        <w:t xml:space="preserve"> the Kyrgyz Republic</w:t>
      </w:r>
      <w:r w:rsidR="002C0367">
        <w:rPr>
          <w:rFonts w:ascii="Calibri" w:eastAsia="PMingLiU" w:hAnsi="Calibri" w:cs="Arial"/>
          <w:lang w:val="en-US" w:eastAsia="zh-TW"/>
        </w:rPr>
        <w:t xml:space="preserve">, funded by the </w:t>
      </w:r>
      <w:r w:rsidR="002C0367" w:rsidRPr="00B03EE8">
        <w:rPr>
          <w:rFonts w:ascii="Calibri" w:eastAsia="PMingLiU" w:hAnsi="Calibri" w:cs="Arial"/>
          <w:lang w:val="en-US" w:eastAsia="zh-TW"/>
        </w:rPr>
        <w:t>European Union</w:t>
      </w:r>
      <w:r w:rsidR="002C0367">
        <w:rPr>
          <w:rFonts w:ascii="Calibri" w:eastAsia="PMingLiU" w:hAnsi="Calibri" w:cs="Arial"/>
          <w:lang w:val="en-US" w:eastAsia="zh-TW"/>
        </w:rPr>
        <w:t xml:space="preserve">. </w:t>
      </w:r>
    </w:p>
    <w:p w14:paraId="7B615B82" w14:textId="77777777" w:rsidR="002C0367" w:rsidRPr="00B03EE8" w:rsidRDefault="002C0367" w:rsidP="00B03EE8">
      <w:pPr>
        <w:pStyle w:val="Sarakstarindkopa"/>
        <w:rPr>
          <w:rFonts w:ascii="Calibri" w:eastAsia="PMingLiU" w:hAnsi="Calibri" w:cs="Arial"/>
          <w:lang w:val="en-US" w:eastAsia="zh-TW"/>
        </w:rPr>
      </w:pPr>
    </w:p>
    <w:p w14:paraId="014D6728" w14:textId="7E6435F1" w:rsidR="007D5BC2" w:rsidRDefault="008955BA" w:rsidP="00B92C6F">
      <w:pPr>
        <w:numPr>
          <w:ilvl w:val="0"/>
          <w:numId w:val="21"/>
        </w:numPr>
        <w:spacing w:after="160" w:line="259" w:lineRule="auto"/>
        <w:contextualSpacing/>
        <w:rPr>
          <w:rFonts w:ascii="Calibri" w:eastAsia="PMingLiU" w:hAnsi="Calibri" w:cs="Arial"/>
          <w:lang w:eastAsia="zh-TW"/>
        </w:rPr>
      </w:pPr>
      <w:r w:rsidRPr="001D02FD">
        <w:rPr>
          <w:rFonts w:ascii="Calibri" w:eastAsia="PMingLiU" w:hAnsi="Calibri" w:cs="Arial"/>
          <w:b/>
          <w:bCs/>
          <w:lang w:eastAsia="zh-TW"/>
        </w:rPr>
        <w:t>Core Team</w:t>
      </w:r>
      <w:r w:rsidRPr="001D02FD">
        <w:rPr>
          <w:rFonts w:ascii="Calibri" w:eastAsia="PMingLiU" w:hAnsi="Calibri" w:cs="Arial"/>
          <w:lang w:eastAsia="zh-TW"/>
        </w:rPr>
        <w:t xml:space="preserve"> </w:t>
      </w:r>
    </w:p>
    <w:p w14:paraId="65766B7D" w14:textId="0B068DE1" w:rsidR="007D5BC2" w:rsidRDefault="007D5BC2" w:rsidP="007D5BC2">
      <w:pPr>
        <w:rPr>
          <w:rFonts w:ascii="Calibri" w:eastAsia="PMingLiU" w:hAnsi="Calibri" w:cs="Arial"/>
          <w:lang w:eastAsia="zh-TW"/>
        </w:rPr>
      </w:pPr>
    </w:p>
    <w:p w14:paraId="0F8A89BC" w14:textId="50E11752" w:rsidR="007D5BC2" w:rsidRDefault="007D5BC2" w:rsidP="007D5BC2">
      <w:pPr>
        <w:spacing w:after="120" w:line="240" w:lineRule="auto"/>
        <w:jc w:val="both"/>
        <w:rPr>
          <w:rFonts w:cs="Times New Roman"/>
          <w:szCs w:val="24"/>
        </w:rPr>
      </w:pPr>
      <w:r>
        <w:rPr>
          <w:rFonts w:cs="Times New Roman"/>
          <w:szCs w:val="24"/>
        </w:rPr>
        <w:lastRenderedPageBreak/>
        <w:t>E</w:t>
      </w:r>
      <w:r w:rsidRPr="00E76190">
        <w:rPr>
          <w:rFonts w:cs="Times New Roman"/>
          <w:szCs w:val="24"/>
        </w:rPr>
        <w:t xml:space="preserve">xperts </w:t>
      </w:r>
      <w:r>
        <w:rPr>
          <w:rFonts w:cs="Times New Roman"/>
          <w:szCs w:val="24"/>
        </w:rPr>
        <w:t xml:space="preserve">of the SAO of Latvia </w:t>
      </w:r>
      <w:r w:rsidRPr="00E76190">
        <w:rPr>
          <w:rFonts w:cs="Times New Roman"/>
          <w:szCs w:val="24"/>
        </w:rPr>
        <w:t>provide their experience, knowledge and professional support to other SAIs practically in all areas, starting with setting appropriate legal framework, strategic and operational planning, personnel management, financial/compliance/performance audit methodologies, quality control, monitoring of recommendations, co-operation with Parliaments and public etc. Currently, the communication with public is one of the main strategic priorities of the SAO of Latvia, since we have acknowledged ordinary citizens as our main clients. Development tendencies in INTOSAI and EUROSAI communities confirm the above understanding. The SAO of Latvia has developed series of approaches for reaching differing audiences with simple and understandable messages.</w:t>
      </w:r>
    </w:p>
    <w:p w14:paraId="59438D79" w14:textId="77777777" w:rsidR="00E03D75" w:rsidRDefault="00E03D75" w:rsidP="007D5BC2">
      <w:pPr>
        <w:spacing w:after="120" w:line="240" w:lineRule="auto"/>
        <w:jc w:val="both"/>
        <w:rPr>
          <w:rFonts w:cs="Times New Roman"/>
          <w:szCs w:val="24"/>
        </w:rPr>
      </w:pPr>
    </w:p>
    <w:p w14:paraId="39B65061" w14:textId="15903B67" w:rsidR="00E03D75" w:rsidRPr="00E03D75" w:rsidRDefault="00E03D75" w:rsidP="007D5BC2">
      <w:pPr>
        <w:spacing w:after="120" w:line="240" w:lineRule="auto"/>
        <w:jc w:val="both"/>
        <w:rPr>
          <w:rFonts w:cs="Times New Roman"/>
          <w:szCs w:val="24"/>
          <w:u w:val="single"/>
        </w:rPr>
      </w:pPr>
      <w:r w:rsidRPr="00E03D75">
        <w:rPr>
          <w:rFonts w:cs="Times New Roman"/>
          <w:szCs w:val="24"/>
          <w:u w:val="single"/>
        </w:rPr>
        <w:t>Pen portraits of the experts of the SAO of Latvia</w:t>
      </w:r>
    </w:p>
    <w:p w14:paraId="1E7C3158" w14:textId="77777777" w:rsidR="00E03D75" w:rsidRDefault="00E03D75" w:rsidP="007D5BC2">
      <w:pPr>
        <w:spacing w:after="120" w:line="240" w:lineRule="auto"/>
        <w:jc w:val="both"/>
        <w:rPr>
          <w:rFonts w:cs="Times New Roman"/>
          <w:szCs w:val="24"/>
        </w:rPr>
      </w:pPr>
    </w:p>
    <w:p w14:paraId="67B93802"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Marita Salgrāve</w:t>
      </w:r>
      <w:r w:rsidRPr="00E03D75">
        <w:rPr>
          <w:rFonts w:cs="Times New Roman"/>
          <w:szCs w:val="24"/>
          <w:lang w:val="en-US"/>
        </w:rPr>
        <w:t xml:space="preserve"> – Adviser to Auditor General on Strategic Issues since 2015, previously working as Council Member and Audit Director (2007-2014). As a Council Member and Audit Director had been directly involved in defining approaches and setting SAI’s internal procedures for co-operation with and reporting to the Parliament; possesses hands-on reporting experience to the Parliament; as a consultant (2016) ensured quality control of the newly developed “Law on Chamber of Accounts” of Kyrgyz Republic; as a Strategic Adviser to the Auditor General holds responsibility over development and revision of the SAO’s Strategic Development Plan, which includes SAO’s Communication Strategy with different audiences – parliament, government, municipalities, NGOs, media, associations of entrepreneurs, academic circles, etc. As a Council Member and Audit Director Ms Salgrāve had been directly responsible for planning and performing financial, compliance and performance audits; as from 2017 - member of the INTOSAI Forum for Professional pronouncements (FIPP) being responsible for further development and quality control of ISSAIs. Ms Salgrāve acts as the OECD expert in assessment of PFM and External audit reforms in the EU candidate and potential candidate countries (2016-2017).</w:t>
      </w:r>
    </w:p>
    <w:p w14:paraId="692F3AE7" w14:textId="77777777" w:rsidR="00E03D75" w:rsidRDefault="00E03D75" w:rsidP="00E03D75">
      <w:pPr>
        <w:spacing w:after="120" w:line="240" w:lineRule="auto"/>
        <w:jc w:val="both"/>
        <w:rPr>
          <w:rFonts w:cs="Times New Roman"/>
          <w:b/>
          <w:szCs w:val="24"/>
          <w:lang w:val="en-US"/>
        </w:rPr>
      </w:pPr>
    </w:p>
    <w:p w14:paraId="6563072C" w14:textId="77777777" w:rsidR="00E03D75" w:rsidRDefault="00E03D75" w:rsidP="00E03D75">
      <w:pPr>
        <w:spacing w:after="120" w:line="240" w:lineRule="auto"/>
        <w:jc w:val="both"/>
        <w:rPr>
          <w:rFonts w:cs="Times New Roman"/>
          <w:szCs w:val="24"/>
          <w:lang w:val="en-US"/>
        </w:rPr>
      </w:pPr>
      <w:r w:rsidRPr="00E03D75">
        <w:rPr>
          <w:rFonts w:cs="Times New Roman"/>
          <w:b/>
          <w:szCs w:val="24"/>
          <w:lang w:val="en-US"/>
        </w:rPr>
        <w:t>Ms Lelde Dimante</w:t>
      </w:r>
      <w:r w:rsidRPr="00E03D75">
        <w:rPr>
          <w:rFonts w:cs="Times New Roman"/>
          <w:szCs w:val="24"/>
          <w:lang w:val="en-US"/>
        </w:rPr>
        <w:t xml:space="preserve"> – Audit Result Analysis and Improvement Process Manager since 2016 – responsible for hot reviews of compliance and performance audit plans and draft reports; the development and adaption of audit financial impact methodology; provides support in development of overall audit methodology and training of auditors; is involved in international corporation; member of EUROSAI Goal Team2 Professional Standards. Since 2016 Ms Dimante is a lecturer at Department of Accounting and Audit at the University Of Latvia Faculty Of Business, Management and Economics, giving lectures about Public Sector Auditing for master degree students. Previously (2007 – 2017) working as Council Member, Director of Department of Audit and Methodology responsible for management of the department of approximately 20 people – planning, supervising, advising and supporting every day, annual and midterm work, assessing work results, ensuring elaboration and updating of audit methodology (also in the field of IT audit) and coordination of its implementation in the SAO, ensuring support to auditors in respect to application of audit methodology (also in the field of IT), ensuring audit quality control, training of auditors and participating in international working groups. Ms Dimante was responsible for audit of the Annual Report of the Republic of Latvia on implementation of the State budget and budgets of local </w:t>
      </w:r>
      <w:r w:rsidRPr="00E03D75">
        <w:rPr>
          <w:rFonts w:cs="Times New Roman"/>
          <w:szCs w:val="24"/>
          <w:lang w:val="en-US"/>
        </w:rPr>
        <w:lastRenderedPageBreak/>
        <w:t>governments, audit on State budget revenue, audit of the Bank of Latvia (Central Bank; until 2014, when Latvia joined Eurozone), audit in the Central Election Commission, as well as compliance and performance audits in revenue, budget management and IT area. Experience with international projects - consultations and training of SAIs of Georgia and Moldova in Institutional development cooperation project between SAIs of Moldova, Georgian and the Swedish National Audit Office; consultations and training for bilateral partnership between the SAO of Latvia and Ukraine, Tajikistan, Azerbaijan, Kazakhstan, Belorussia, acting as Project leader of twinning assignment with the Accounts Chamber of Kyrgyz Republic in 2009.</w:t>
      </w:r>
    </w:p>
    <w:p w14:paraId="4199A1E8" w14:textId="231707D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Inese Kalvāne</w:t>
      </w:r>
      <w:r w:rsidRPr="00E03D75">
        <w:rPr>
          <w:rFonts w:cs="Times New Roman"/>
          <w:szCs w:val="24"/>
          <w:lang w:val="en-US"/>
        </w:rPr>
        <w:t xml:space="preserve">  – Council Member, Head of Audit Department since 2016, in charge of conducting financial, compliance and performance audits in authorities of Ministry of Foreign Affairs, Ministry of Culture, Ministry of Education and Science, National Council for Electronic Media, Ministry of Economics and Ministry of Transport. Previously for the period of four years worked as the Director of the State Employment Agency of Latvia. As a director of this public employment service institution Ms Kalvāne was responsible for the establishment and running of strategic, financial and human resource management of public institution. She also was in charge of the development of internal control system, performance assessment and risk management systems, organizing internal financial, management and quality control audits, cooperating with external auditors, as well as in charge of implementation of EU and other development projects. Since 2014 to 2016 Ms Kalvāne was the Board member of the EU Public Employment Services (PES) network and during 2016 participated as an assessor in the Benchmarking of PES Project organized by European Commission. Ms Kalvāne has experience working in the Ministry of Welfare (2004-2008), where she worked on the development of risk management and monitoring system of Structural Funds, evaluation of projects and providing opinions.         </w:t>
      </w:r>
    </w:p>
    <w:p w14:paraId="2937985E" w14:textId="77777777" w:rsidR="00E03D75" w:rsidRDefault="00E03D75" w:rsidP="00E03D75">
      <w:pPr>
        <w:spacing w:after="120" w:line="240" w:lineRule="auto"/>
        <w:jc w:val="both"/>
        <w:rPr>
          <w:rFonts w:cs="Times New Roman"/>
          <w:b/>
          <w:szCs w:val="24"/>
          <w:lang w:val="en-US"/>
        </w:rPr>
      </w:pPr>
    </w:p>
    <w:p w14:paraId="6303F0BE"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Ilze Grīnhofa</w:t>
      </w:r>
      <w:r w:rsidRPr="00E03D75">
        <w:rPr>
          <w:rFonts w:cs="Times New Roman"/>
          <w:szCs w:val="24"/>
          <w:lang w:val="en-US"/>
        </w:rPr>
        <w:t xml:space="preserve"> – Council Member, Head of the Audit Department since 2013, has more than 10 years of experience in the SAO of Latvia (starting with position of State Auditor, Senior State Auditor, Head of Audit Sector and eventually Council Member and Head of the Audit Department), in charge of conducting financial, compliance and performance audits in authorities of Ministry of Defence, Ministry of the Interior and Ministry of Justice. Ms Grīnhofa has extensive experience in auditing consolidated financial statements, conducting compliance and performance audits in the Ministries of Defence, Interior and Justice, ensuring audit planning, gathering evidence, providing opinion, reporting on audit results, monitoring implementation of recommendations, cooperation with Parliament, etc. Ms Grīnhofa has participated in international cooperation activities with SAIs of Kazakhstan, Ukraine and Moldova and has acquired knowledge of Russian, German and English.    </w:t>
      </w:r>
    </w:p>
    <w:p w14:paraId="6D345C1C" w14:textId="77777777" w:rsidR="00E03D75" w:rsidRDefault="00E03D75" w:rsidP="00E03D75">
      <w:pPr>
        <w:spacing w:after="120" w:line="240" w:lineRule="auto"/>
        <w:jc w:val="both"/>
        <w:rPr>
          <w:rFonts w:cs="Times New Roman"/>
          <w:b/>
          <w:szCs w:val="24"/>
          <w:lang w:val="en-US"/>
        </w:rPr>
      </w:pPr>
    </w:p>
    <w:p w14:paraId="42DB2C04"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Ilonda Stepanova</w:t>
      </w:r>
      <w:r w:rsidRPr="00E03D75">
        <w:rPr>
          <w:rFonts w:cs="Times New Roman"/>
          <w:szCs w:val="24"/>
          <w:lang w:val="en-US"/>
        </w:rPr>
        <w:t xml:space="preserve"> – Council Member, Head of Audit Department since 2015, in charge of conducting financial, compliance and performance audits in authorities of Ministry of Finance, Ministry of Culture, Ministry of Agriculture, Ministry of Environmental Protection and Regional Development and State Chancellery.  Previously for the period of eighteen years worked for Ministry of Finance, last 8 years as the Head of Budget Department. As the Director of Budget Department she was primarily responsible for the preparation of the information for the government to ensure decision-making on annual budget and </w:t>
      </w:r>
      <w:r w:rsidRPr="00E03D75">
        <w:rPr>
          <w:rFonts w:cs="Times New Roman"/>
          <w:szCs w:val="24"/>
          <w:lang w:val="en-US"/>
        </w:rPr>
        <w:lastRenderedPageBreak/>
        <w:t xml:space="preserve">national state budget policy in general.  Ms Stepanova also participated in the development of medium-term state budget planning system ensuring a link between strategic plans of ministries and the state budget. Ms </w:t>
      </w:r>
      <w:proofErr w:type="spellStart"/>
      <w:r w:rsidRPr="00E03D75">
        <w:rPr>
          <w:rFonts w:cs="Times New Roman"/>
          <w:szCs w:val="24"/>
          <w:lang w:val="en-US"/>
        </w:rPr>
        <w:t>Stepanova’s</w:t>
      </w:r>
      <w:proofErr w:type="spellEnd"/>
      <w:r w:rsidRPr="00E03D75">
        <w:rPr>
          <w:rFonts w:cs="Times New Roman"/>
          <w:szCs w:val="24"/>
          <w:lang w:val="en-US"/>
        </w:rPr>
        <w:t xml:space="preserve"> duties also included close and regular cooperation with international organizations (IMF, EC, and WB) on the improvement of the state budget planning system and methodology, as well as evaluation of achievements. Ms Stepanova has participated in TAIEX activities. </w:t>
      </w:r>
    </w:p>
    <w:p w14:paraId="3DE51A12" w14:textId="77777777" w:rsidR="00E03D75" w:rsidRDefault="00E03D75" w:rsidP="00E03D75">
      <w:pPr>
        <w:spacing w:after="120" w:line="240" w:lineRule="auto"/>
        <w:jc w:val="both"/>
        <w:rPr>
          <w:rFonts w:cs="Times New Roman"/>
          <w:b/>
          <w:szCs w:val="24"/>
          <w:lang w:val="en-US"/>
        </w:rPr>
      </w:pPr>
    </w:p>
    <w:p w14:paraId="3F916060"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Mr Edgars Korčagins</w:t>
      </w:r>
      <w:r w:rsidRPr="00E03D75">
        <w:rPr>
          <w:rFonts w:cs="Times New Roman"/>
          <w:szCs w:val="24"/>
          <w:lang w:val="en-US"/>
        </w:rPr>
        <w:t xml:space="preserve"> – Council Member, Head of the Audit Department since 2016, in charge of conducting financial, regulatory and performance audits in local governments. Previously for the period of eight years was the Head of Legal Department at the Ministry of Welfare. Tasks included provision of legal expertise in the fields of social, employment and labour affairs, equal opportunities and gender equality, including extensive legislative work at the level of the government and the Parliament. Mr. Korčagins also was in charge of coordination and representation of European Union position at the International Labour Organisation during the Latvian EU presidency in 2015. Since 2001 to 2007 Mr. Korčagins held a position of Deputy Director General at the Employers’ Confederation of Latvia. He represented employers’ interests in legislation process and social dialogue in the fields of legal labour relations and occupational health and safety and provided training for members. His work has been related to an intensive dialogue with different stake holders and interest groups, which has given him a rich and comprehensive communication experience. Thanks to his participation in and managing of different projects he has gained teamwork experience both as a member and as a leader of a team. This experience also includes working in multinational and multicultural environment. Mr. Korčagins has over 15 years of staff management experience providing him skills in coordination and leadership. He also has a good command of dispute settlement and conflict resolution skills and has worked as a lecturer and consultant on legal labour relations and social dialogue issues for more than 12 years.</w:t>
      </w:r>
    </w:p>
    <w:p w14:paraId="61AC8BE5" w14:textId="77777777" w:rsidR="00E03D75" w:rsidRDefault="00E03D75" w:rsidP="00E03D75">
      <w:pPr>
        <w:spacing w:after="120" w:line="240" w:lineRule="auto"/>
        <w:jc w:val="both"/>
        <w:rPr>
          <w:rFonts w:cs="Times New Roman"/>
          <w:b/>
          <w:szCs w:val="24"/>
          <w:lang w:val="en-US"/>
        </w:rPr>
      </w:pPr>
    </w:p>
    <w:p w14:paraId="03B569E8" w14:textId="77777777" w:rsidR="00E03D75" w:rsidRDefault="00E03D75" w:rsidP="00E03D75">
      <w:pPr>
        <w:spacing w:after="120" w:line="240" w:lineRule="auto"/>
        <w:jc w:val="both"/>
        <w:rPr>
          <w:rFonts w:cs="Times New Roman"/>
          <w:szCs w:val="24"/>
          <w:lang w:val="en-US"/>
        </w:rPr>
      </w:pPr>
      <w:r w:rsidRPr="00E03D75">
        <w:rPr>
          <w:rFonts w:cs="Times New Roman"/>
          <w:b/>
          <w:szCs w:val="24"/>
          <w:lang w:val="en-US"/>
        </w:rPr>
        <w:t>Ms Zita Zariņa</w:t>
      </w:r>
      <w:r w:rsidRPr="00E03D75">
        <w:rPr>
          <w:rFonts w:cs="Times New Roman"/>
          <w:szCs w:val="24"/>
          <w:lang w:val="en-US"/>
        </w:rPr>
        <w:t xml:space="preserve"> – Council Member, Head of Audit and Methodology Department since 2015. The Department is responsible mainly for auditing Annual Reports of the State Budget Execution and Local Government Budgets, performing audits in the field of information technology, elaborating audit methodology used by SAO and ensuring training of auditors and audit quality controls. From 2000 till 2007 Ms Zariņa worked for the European Commission, initially in EC Delegation in Latvia, later in DG Enlargement in Brussels, ensuring ex-ante and ex-post controls of EU pre-accession funds.  In 2007 Ms Zariņa joined Central Finance and Contracting Agency (CFCA) in Latvia - the state agency responsible for administration of the programmes co-financed by the European Union and other donors. Over following 8 years, as a head of different departments within CFCA, she supervised implementation and sustainability of projects financed by Transition Facility, European Regional Development Fund, Latvian-Swiss Cooperation Programme, EEA and Norwegian Financial Mechanism, coordinated CFCA’s functions as competence centre for public – private partnership projects and was responsible for developing and updating fund related management and control systems. From 2013 acted as Deputy Director of CFCA responsible for strategic issues.</w:t>
      </w:r>
    </w:p>
    <w:p w14:paraId="337FCD3F" w14:textId="77777777" w:rsidR="00E03D75" w:rsidRDefault="00E03D75" w:rsidP="00E03D75">
      <w:pPr>
        <w:spacing w:after="120" w:line="240" w:lineRule="auto"/>
        <w:jc w:val="both"/>
        <w:rPr>
          <w:rFonts w:cs="Times New Roman"/>
          <w:b/>
          <w:szCs w:val="24"/>
          <w:lang w:val="en-US"/>
        </w:rPr>
      </w:pPr>
    </w:p>
    <w:p w14:paraId="39DD45B4"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lastRenderedPageBreak/>
        <w:t>Ms Ingrīda Kalniņa-Junga</w:t>
      </w:r>
      <w:r w:rsidRPr="00E03D75">
        <w:rPr>
          <w:rFonts w:cs="Times New Roman"/>
          <w:szCs w:val="24"/>
          <w:lang w:val="en-US"/>
        </w:rPr>
        <w:t xml:space="preserve"> – Sector Head with more than 10 years of experience in the SAO of Latvia conducting audits in the field of information technologies. Ms Kalniņa-Junga possesses experience in evaluation of IT general controls, conducting performance audits on effectiveness of IT projects and compliance audits on IT security governance. Also the development of methodology on assessment of IT general controls and SAI employee training were done by Ms Kalniņa-Junga, as well as the implementation of audit support tools – </w:t>
      </w:r>
      <w:proofErr w:type="spellStart"/>
      <w:r w:rsidRPr="00E03D75">
        <w:rPr>
          <w:rFonts w:cs="Times New Roman"/>
          <w:szCs w:val="24"/>
          <w:lang w:val="en-US"/>
        </w:rPr>
        <w:t>TeamMate</w:t>
      </w:r>
      <w:proofErr w:type="spellEnd"/>
      <w:r w:rsidRPr="00E03D75">
        <w:rPr>
          <w:rFonts w:cs="Times New Roman"/>
          <w:szCs w:val="24"/>
          <w:lang w:val="en-US"/>
        </w:rPr>
        <w:t xml:space="preserve"> and IDEA. Ms Kalniņa-Junga has a good knowledge of Russian and English and has an experience in international projects. The latest was “Capacity building of the SAIs of Ukraine, Moldova and Georgia in the integration process of the International Public Sector Accounting Standards (ISSAI)”.</w:t>
      </w:r>
    </w:p>
    <w:p w14:paraId="28DEADD9" w14:textId="77777777" w:rsidR="00E03D75" w:rsidRPr="00E03D75" w:rsidRDefault="00E03D75" w:rsidP="00E03D75">
      <w:pPr>
        <w:spacing w:after="120" w:line="240" w:lineRule="auto"/>
        <w:jc w:val="both"/>
        <w:rPr>
          <w:rFonts w:cs="Times New Roman"/>
          <w:szCs w:val="24"/>
          <w:lang w:val="en-US"/>
        </w:rPr>
      </w:pPr>
    </w:p>
    <w:p w14:paraId="01C01D4D"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Iveta Burkāne</w:t>
      </w:r>
      <w:r w:rsidRPr="00E03D75">
        <w:rPr>
          <w:rFonts w:cs="Times New Roman"/>
          <w:szCs w:val="24"/>
          <w:lang w:val="en-US"/>
        </w:rPr>
        <w:t xml:space="preserve"> – started her career at the SAO of Latvia in 1998 as Assistant to State Auditor, was promoted to the position of State Auditor and Senior State Auditor and since 2002 has been working as Head of Sector at Audit and Methodology Department in charge of elaborating and updating audit methodology, coordinating its implementation and providing support to auditors in respect to application of audit methodology. In addition, the sector prepares training programs, provides training of auditors, implements measures for increasing the quality of audit and quality control and performs audit on the Annual Report of the Republic of Latvia on implementation of the State budget and budgets of local governments (government’s consolidated financial statements). In 2005 under the leadership of Ms Burkāne national budget revenue audits were launched at the SAO of Latvia and still remain her responsibility. Ms Burkāne has extensive experience in conducting quality control reviews of closed audits (cold reviews), has participated in international coordinated audits and has extensive international cooperation experience, collaborating with SAIs of Sweden, Georgia, Moldova, Kazakhstan, Tajikistan and others. In addition, Ms Burkāne has experience as a lecturer in university and good knowledge of Russian and English.</w:t>
      </w:r>
    </w:p>
    <w:p w14:paraId="509ED42E" w14:textId="77777777" w:rsidR="00E03D75" w:rsidRDefault="00E03D75" w:rsidP="00E03D75">
      <w:pPr>
        <w:spacing w:after="120" w:line="240" w:lineRule="auto"/>
        <w:jc w:val="both"/>
        <w:rPr>
          <w:rFonts w:cs="Times New Roman"/>
          <w:b/>
          <w:szCs w:val="24"/>
          <w:lang w:val="en-US"/>
        </w:rPr>
      </w:pPr>
    </w:p>
    <w:p w14:paraId="202B3F9A" w14:textId="77777777" w:rsidR="00E03D75" w:rsidRDefault="00E03D75" w:rsidP="00E03D75">
      <w:pPr>
        <w:spacing w:after="120" w:line="240" w:lineRule="auto"/>
        <w:jc w:val="both"/>
        <w:rPr>
          <w:rFonts w:cs="Times New Roman"/>
          <w:szCs w:val="24"/>
          <w:lang w:val="en-US"/>
        </w:rPr>
      </w:pPr>
      <w:r w:rsidRPr="00E03D75">
        <w:rPr>
          <w:rFonts w:cs="Times New Roman"/>
          <w:b/>
          <w:szCs w:val="24"/>
          <w:lang w:val="en-US"/>
        </w:rPr>
        <w:t>Ms Agnese Jaunzeme</w:t>
      </w:r>
      <w:r w:rsidRPr="00E03D75">
        <w:rPr>
          <w:rFonts w:cs="Times New Roman"/>
          <w:szCs w:val="24"/>
          <w:lang w:val="en-US"/>
        </w:rPr>
        <w:t xml:space="preserve"> – Sector Head with more than 10 years of experience in the SAO of Latvia conducting financial, compliance and performance audits. Ms Jaunzeme possesses experience in auditing consolidated financial statements and conducting compliance and performance audits in the Ministry of Health. Experience of Ms Jaunzeme covers the complete audit cycle – planning, development of risk based audit approach, gathering audit evidence, preparing audit report and overseeing audit team members, in addition, Ms Jaunzeme has a good knowledge</w:t>
      </w:r>
      <w:r>
        <w:rPr>
          <w:rFonts w:cs="Times New Roman"/>
          <w:szCs w:val="24"/>
          <w:lang w:val="en-US"/>
        </w:rPr>
        <w:t xml:space="preserve"> of Russian and English.  </w:t>
      </w:r>
    </w:p>
    <w:p w14:paraId="3633AACC" w14:textId="77777777" w:rsidR="00E03D75" w:rsidRDefault="00E03D75" w:rsidP="00E03D75">
      <w:pPr>
        <w:spacing w:after="120" w:line="240" w:lineRule="auto"/>
        <w:jc w:val="both"/>
        <w:rPr>
          <w:rFonts w:cs="Times New Roman"/>
          <w:szCs w:val="24"/>
          <w:lang w:val="en-US"/>
        </w:rPr>
      </w:pPr>
    </w:p>
    <w:p w14:paraId="27350D0F" w14:textId="3942BECF" w:rsidR="00E03D75" w:rsidRDefault="00E03D75" w:rsidP="00E03D75">
      <w:pPr>
        <w:spacing w:after="120" w:line="240" w:lineRule="auto"/>
        <w:jc w:val="both"/>
        <w:rPr>
          <w:rFonts w:cs="Times New Roman"/>
          <w:szCs w:val="24"/>
          <w:lang w:val="en-US"/>
        </w:rPr>
      </w:pPr>
      <w:r w:rsidRPr="00E03D75">
        <w:rPr>
          <w:rFonts w:cs="Times New Roman"/>
          <w:b/>
          <w:szCs w:val="24"/>
          <w:lang w:val="en-US"/>
        </w:rPr>
        <w:t>Ms Līga Kumska</w:t>
      </w:r>
      <w:r w:rsidRPr="00E03D75">
        <w:rPr>
          <w:rFonts w:cs="Times New Roman"/>
          <w:szCs w:val="24"/>
          <w:lang w:val="en-US"/>
        </w:rPr>
        <w:t xml:space="preserve"> – Head of Planning and Analysis Division since 2016, previously working as Senior Desk Officer in the SAO of Latvia. Ms Kumska is monitoring the recommendation management process in the SAO. She has more than 10 year experience in analysing the progress of implementation of SAO`s recommendations, her experience also includes maintaining software </w:t>
      </w:r>
      <w:proofErr w:type="spellStart"/>
      <w:r w:rsidRPr="00E03D75">
        <w:rPr>
          <w:rFonts w:cs="Times New Roman"/>
          <w:szCs w:val="24"/>
          <w:lang w:val="en-US"/>
        </w:rPr>
        <w:t>TeamMate</w:t>
      </w:r>
      <w:proofErr w:type="spellEnd"/>
      <w:r w:rsidRPr="00E03D75">
        <w:rPr>
          <w:rFonts w:cs="Times New Roman"/>
          <w:szCs w:val="24"/>
          <w:lang w:val="en-US"/>
        </w:rPr>
        <w:t xml:space="preserve"> (used for monitoring the implementation of recommendations). Ms Kumska has experience in managing the lectures. As head of division she holds responsibility for the SAO’s annual activity plan (to prepare and analyse information </w:t>
      </w:r>
      <w:r w:rsidRPr="00E03D75">
        <w:rPr>
          <w:rFonts w:cs="Times New Roman"/>
          <w:szCs w:val="24"/>
          <w:lang w:val="en-US"/>
        </w:rPr>
        <w:lastRenderedPageBreak/>
        <w:t>necessary for preparation of reports), the work-time system and the performance indicators of the SAO. Ms Kumska has knowledge of Russian and English.</w:t>
      </w:r>
    </w:p>
    <w:p w14:paraId="783EBF66" w14:textId="77777777" w:rsidR="00E03D75" w:rsidRDefault="00E03D75" w:rsidP="00E03D75">
      <w:pPr>
        <w:spacing w:after="120" w:line="240" w:lineRule="auto"/>
        <w:jc w:val="both"/>
        <w:rPr>
          <w:rFonts w:cs="Times New Roman"/>
          <w:b/>
          <w:szCs w:val="24"/>
          <w:lang w:val="en-US"/>
        </w:rPr>
      </w:pPr>
    </w:p>
    <w:p w14:paraId="772C2242"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Diāna Kaļvāne</w:t>
      </w:r>
      <w:r w:rsidRPr="00E03D75">
        <w:rPr>
          <w:rFonts w:cs="Times New Roman"/>
          <w:szCs w:val="24"/>
          <w:lang w:val="en-US"/>
        </w:rPr>
        <w:t xml:space="preserve"> – Senior State Auditor with more than 8 years of experience in the SAO of Latvia conducting financial, compliance and performance audits. Ms Kaļvāne possesses experience in auditing consolidated financial statements and conducting compliance and performance audits in the Ministry of Defence, including National Armed Forces. Experience of Ms Kaļvāne covers the complete audit cycle – planning, development of risk based audit approach, gathering audit evidence, preparing audit report and overseeing audit team members, in addition, Ms Kaļvāne has a good knowledge of Russian and English.  </w:t>
      </w:r>
    </w:p>
    <w:p w14:paraId="732B291F" w14:textId="77777777" w:rsidR="00E03D75" w:rsidRDefault="00E03D75" w:rsidP="00E03D75">
      <w:pPr>
        <w:spacing w:after="120" w:line="240" w:lineRule="auto"/>
        <w:jc w:val="both"/>
        <w:rPr>
          <w:rFonts w:cs="Times New Roman"/>
          <w:szCs w:val="24"/>
          <w:lang w:val="en-US"/>
        </w:rPr>
      </w:pPr>
    </w:p>
    <w:p w14:paraId="59D580DF" w14:textId="77777777" w:rsidR="00E03D75" w:rsidRPr="00E03D75" w:rsidRDefault="00E03D75" w:rsidP="00E03D75">
      <w:pPr>
        <w:spacing w:after="120" w:line="240" w:lineRule="auto"/>
        <w:jc w:val="both"/>
        <w:rPr>
          <w:rFonts w:cs="Times New Roman"/>
          <w:szCs w:val="24"/>
          <w:lang w:val="en-US"/>
        </w:rPr>
      </w:pPr>
      <w:r w:rsidRPr="00E03D75">
        <w:rPr>
          <w:rFonts w:cs="Times New Roman"/>
          <w:b/>
          <w:szCs w:val="24"/>
          <w:lang w:val="en-US"/>
        </w:rPr>
        <w:t>Ms Dzintra Tripane</w:t>
      </w:r>
      <w:r w:rsidRPr="00E03D75">
        <w:rPr>
          <w:rFonts w:cs="Times New Roman"/>
          <w:szCs w:val="24"/>
          <w:lang w:val="en-US"/>
        </w:rPr>
        <w:t xml:space="preserve"> – Senior State Auditor with more than 15 years of experience in the SAO of Latvia conducting financial, compliance and performance audits. </w:t>
      </w:r>
      <w:proofErr w:type="gramStart"/>
      <w:r w:rsidRPr="00E03D75">
        <w:rPr>
          <w:rFonts w:cs="Times New Roman"/>
          <w:szCs w:val="24"/>
          <w:lang w:val="en-US"/>
        </w:rPr>
        <w:t>Since 2005 Ms Tripane has been working in Audit and Methodology Department and has been involved in the process of development of audit methodology and the system of audit quality control.</w:t>
      </w:r>
      <w:proofErr w:type="gramEnd"/>
      <w:r w:rsidRPr="00E03D75">
        <w:rPr>
          <w:rFonts w:cs="Times New Roman"/>
          <w:szCs w:val="24"/>
          <w:lang w:val="en-US"/>
        </w:rPr>
        <w:t xml:space="preserve"> Ms Tripane has been taking part in financial audit training courses since 2005 and possesses four years’ experience in auditing Annual Report of the Republic of Latvia on State Budget Execution and Local Government Budgets. Experience of Ms Tripane covers the complete audit cycle – planning, development of risk based audit approach, gathering audit evidence, preparing audit report and overseeing audit team members, in addition, Ms Tripane has participated in international cooperation activities and has a good knowledge of Russian and English.  </w:t>
      </w:r>
    </w:p>
    <w:p w14:paraId="221F2716" w14:textId="77777777" w:rsidR="00E03D75" w:rsidRPr="00E03D75" w:rsidRDefault="00E03D75" w:rsidP="00E03D75">
      <w:pPr>
        <w:spacing w:after="120" w:line="240" w:lineRule="auto"/>
        <w:jc w:val="both"/>
        <w:rPr>
          <w:rFonts w:cs="Times New Roman"/>
          <w:szCs w:val="24"/>
          <w:lang w:val="en-US"/>
        </w:rPr>
      </w:pPr>
    </w:p>
    <w:sectPr w:rsidR="00E03D75" w:rsidRPr="00E03D75" w:rsidSect="00B92C6F">
      <w:headerReference w:type="default" r:id="rId11"/>
      <w:footerReference w:type="default" r:id="rId12"/>
      <w:pgSz w:w="12240" w:h="15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D5F91" w14:textId="77777777" w:rsidR="00446033" w:rsidRDefault="00446033" w:rsidP="00BF2322">
      <w:pPr>
        <w:spacing w:after="0" w:line="240" w:lineRule="auto"/>
      </w:pPr>
      <w:r>
        <w:separator/>
      </w:r>
    </w:p>
  </w:endnote>
  <w:endnote w:type="continuationSeparator" w:id="0">
    <w:p w14:paraId="615D7D79" w14:textId="77777777" w:rsidR="00446033" w:rsidRDefault="00446033" w:rsidP="00BF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BA"/>
    <w:family w:val="swiss"/>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Times New Roman">
    <w:panose1 w:val="02020603050405020304"/>
    <w:charset w:val="BA"/>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E448D" w14:textId="77777777" w:rsidR="009255D8" w:rsidRPr="00CE5D70" w:rsidRDefault="009255D8" w:rsidP="00DB2B40">
    <w:pPr>
      <w:rPr>
        <w:color w:val="4F81BD"/>
      </w:rPr>
    </w:pPr>
    <w:r w:rsidRPr="00CE5D70">
      <w:rPr>
        <w:color w:val="1F497D"/>
      </w:rPr>
      <w:t>Working together to strengthen SAIs in developing countries</w:t>
    </w:r>
    <w:r>
      <w:tab/>
    </w:r>
    <w:r>
      <w:tab/>
    </w:r>
    <w:r>
      <w:tab/>
    </w:r>
    <w:r>
      <w:tab/>
    </w:r>
    <w:sdt>
      <w:sdtPr>
        <w:id w:val="134536770"/>
        <w:docPartObj>
          <w:docPartGallery w:val="Page Numbers (Bottom of Page)"/>
          <w:docPartUnique/>
        </w:docPartObj>
      </w:sdtPr>
      <w:sdtEndPr>
        <w:rPr>
          <w:color w:val="4F81BD"/>
          <w:spacing w:val="60"/>
        </w:rPr>
      </w:sdtEndPr>
      <w:sdtContent>
        <w:r w:rsidRPr="00CE5D70">
          <w:rPr>
            <w:color w:val="4F81BD"/>
          </w:rPr>
          <w:t xml:space="preserve">| </w:t>
        </w:r>
        <w:r w:rsidRPr="00CE5D70">
          <w:rPr>
            <w:color w:val="4F81BD"/>
            <w:spacing w:val="60"/>
          </w:rPr>
          <w:t>Page</w:t>
        </w:r>
      </w:sdtContent>
    </w:sdt>
    <w:r w:rsidRPr="00CE5D70">
      <w:rPr>
        <w:color w:val="4F81BD"/>
      </w:rPr>
      <w:t xml:space="preserve"> </w:t>
    </w:r>
    <w:r w:rsidRPr="00CE5D70">
      <w:rPr>
        <w:color w:val="4F81BD"/>
      </w:rPr>
      <w:fldChar w:fldCharType="begin"/>
    </w:r>
    <w:r w:rsidRPr="00CE5D70">
      <w:rPr>
        <w:color w:val="4F81BD"/>
      </w:rPr>
      <w:instrText xml:space="preserve"> PAGE   \* MERGEFORMAT </w:instrText>
    </w:r>
    <w:r w:rsidRPr="00CE5D70">
      <w:rPr>
        <w:color w:val="4F81BD"/>
      </w:rPr>
      <w:fldChar w:fldCharType="separate"/>
    </w:r>
    <w:r w:rsidR="000E74F2">
      <w:rPr>
        <w:noProof/>
        <w:color w:val="4F81BD"/>
      </w:rPr>
      <w:t>1</w:t>
    </w:r>
    <w:r w:rsidRPr="00CE5D70">
      <w:rPr>
        <w:color w:val="4F81BD"/>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4D436" w14:textId="77777777" w:rsidR="00446033" w:rsidRDefault="00446033" w:rsidP="00BF2322">
      <w:pPr>
        <w:spacing w:after="0" w:line="240" w:lineRule="auto"/>
      </w:pPr>
      <w:r>
        <w:separator/>
      </w:r>
    </w:p>
  </w:footnote>
  <w:footnote w:type="continuationSeparator" w:id="0">
    <w:p w14:paraId="750351EB" w14:textId="77777777" w:rsidR="00446033" w:rsidRDefault="00446033" w:rsidP="00BF2322">
      <w:pPr>
        <w:spacing w:after="0" w:line="240" w:lineRule="auto"/>
      </w:pPr>
      <w:r>
        <w:continuationSeparator/>
      </w:r>
    </w:p>
  </w:footnote>
  <w:footnote w:id="1">
    <w:p w14:paraId="2E2B7297" w14:textId="77777777" w:rsidR="009255D8" w:rsidRPr="003657AD" w:rsidRDefault="009255D8" w:rsidP="008955BA">
      <w:pPr>
        <w:pStyle w:val="Vresteksts"/>
        <w:rPr>
          <w:lang w:val="en-GB"/>
        </w:rPr>
      </w:pPr>
      <w:r>
        <w:rPr>
          <w:rStyle w:val="Vresatsauce"/>
        </w:rPr>
        <w:footnoteRef/>
      </w:r>
      <w:r w:rsidRPr="003657AD">
        <w:rPr>
          <w:lang w:val="en-GB"/>
        </w:rPr>
        <w:t xml:space="preserve"> </w:t>
      </w:r>
      <w:proofErr w:type="gramStart"/>
      <w:r>
        <w:rPr>
          <w:i/>
          <w:iCs/>
          <w:lang w:val="en-GB"/>
        </w:rPr>
        <w:t xml:space="preserve">Defined as </w:t>
      </w:r>
      <w:r w:rsidRPr="00B14DBD">
        <w:rPr>
          <w:i/>
          <w:iCs/>
          <w:lang w:val="en-GB"/>
        </w:rPr>
        <w:t xml:space="preserve">covering full staff costs, reimbursables and a reasonable allocation </w:t>
      </w:r>
      <w:r>
        <w:rPr>
          <w:i/>
          <w:iCs/>
          <w:lang w:val="en-GB"/>
        </w:rPr>
        <w:t>/</w:t>
      </w:r>
      <w:r w:rsidRPr="00B14DBD">
        <w:rPr>
          <w:i/>
          <w:iCs/>
          <w:lang w:val="en-GB"/>
        </w:rPr>
        <w:t xml:space="preserve"> apportionment </w:t>
      </w:r>
      <w:r>
        <w:rPr>
          <w:i/>
          <w:iCs/>
          <w:lang w:val="en-GB"/>
        </w:rPr>
        <w:t>of the organisation’s overheads and indirect costs.</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801CA" w14:textId="57775CF3" w:rsidR="009255D8" w:rsidRPr="00CE5D70" w:rsidRDefault="000E74F2" w:rsidP="000E74F2">
    <w:pPr>
      <w:pStyle w:val="Galvene"/>
      <w:jc w:val="center"/>
      <w:rPr>
        <w:color w:val="4F81BD"/>
      </w:rPr>
    </w:pPr>
    <w:r>
      <w:rPr>
        <w:noProof/>
        <w:sz w:val="40"/>
        <w:szCs w:val="40"/>
        <w:lang w:val="en-US" w:eastAsia="en-US"/>
      </w:rPr>
      <w:drawing>
        <wp:inline distT="0" distB="0" distL="0" distR="0" wp14:anchorId="5E6135C3" wp14:editId="7BA5FC73">
          <wp:extent cx="1360612" cy="1326608"/>
          <wp:effectExtent l="0" t="0" r="0" b="6985"/>
          <wp:docPr id="2" name="Attēls 2" descr="\\Dina\SSD\INTERNATIONAL COOPERATION\Noderīga info\Logo - SAO of Latvia\V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na\SSD\INTERNATIONAL COOPERATION\Noderīga info\Logo - SAO of Latvia\V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641" cy="1326637"/>
                  </a:xfrm>
                  <a:prstGeom prst="rect">
                    <a:avLst/>
                  </a:prstGeom>
                  <a:noFill/>
                  <a:ln>
                    <a:noFill/>
                  </a:ln>
                </pic:spPr>
              </pic:pic>
            </a:graphicData>
          </a:graphic>
        </wp:inline>
      </w:drawing>
    </w:r>
  </w:p>
  <w:p w14:paraId="1D09A3F0" w14:textId="77777777" w:rsidR="009255D8" w:rsidRDefault="009255D8">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559A"/>
    <w:multiLevelType w:val="hybridMultilevel"/>
    <w:tmpl w:val="8EA02FC0"/>
    <w:lvl w:ilvl="0" w:tplc="2FB2465C">
      <w:numFmt w:val="bullet"/>
      <w:lvlText w:val="-"/>
      <w:lvlJc w:val="left"/>
      <w:pPr>
        <w:ind w:left="720" w:hanging="360"/>
      </w:pPr>
      <w:rPr>
        <w:rFonts w:ascii="Calibri" w:eastAsia="PMingLiU" w:hAnsi="Calibri"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5E35E9"/>
    <w:multiLevelType w:val="hybridMultilevel"/>
    <w:tmpl w:val="F956E4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08E90EC7"/>
    <w:multiLevelType w:val="hybridMultilevel"/>
    <w:tmpl w:val="7C58A02E"/>
    <w:lvl w:ilvl="0" w:tplc="FF808BC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C66076"/>
    <w:multiLevelType w:val="hybridMultilevel"/>
    <w:tmpl w:val="BA18BA34"/>
    <w:lvl w:ilvl="0" w:tplc="04140017">
      <w:start w:val="1"/>
      <w:numFmt w:val="lowerLetter"/>
      <w:lvlText w:val="%1)"/>
      <w:lvlJc w:val="left"/>
      <w:pPr>
        <w:ind w:left="1352" w:hanging="360"/>
      </w:pPr>
    </w:lvl>
    <w:lvl w:ilvl="1" w:tplc="04140019" w:tentative="1">
      <w:start w:val="1"/>
      <w:numFmt w:val="lowerLetter"/>
      <w:lvlText w:val="%2."/>
      <w:lvlJc w:val="left"/>
      <w:pPr>
        <w:ind w:left="2072" w:hanging="360"/>
      </w:pPr>
    </w:lvl>
    <w:lvl w:ilvl="2" w:tplc="0414001B">
      <w:start w:val="1"/>
      <w:numFmt w:val="lowerRoman"/>
      <w:lvlText w:val="%3."/>
      <w:lvlJc w:val="right"/>
      <w:pPr>
        <w:ind w:left="2792" w:hanging="180"/>
      </w:pPr>
    </w:lvl>
    <w:lvl w:ilvl="3" w:tplc="0414000F" w:tentative="1">
      <w:start w:val="1"/>
      <w:numFmt w:val="decimal"/>
      <w:lvlText w:val="%4."/>
      <w:lvlJc w:val="left"/>
      <w:pPr>
        <w:ind w:left="3512" w:hanging="360"/>
      </w:pPr>
    </w:lvl>
    <w:lvl w:ilvl="4" w:tplc="04140019" w:tentative="1">
      <w:start w:val="1"/>
      <w:numFmt w:val="lowerLetter"/>
      <w:lvlText w:val="%5."/>
      <w:lvlJc w:val="left"/>
      <w:pPr>
        <w:ind w:left="4232" w:hanging="360"/>
      </w:pPr>
    </w:lvl>
    <w:lvl w:ilvl="5" w:tplc="0414001B" w:tentative="1">
      <w:start w:val="1"/>
      <w:numFmt w:val="lowerRoman"/>
      <w:lvlText w:val="%6."/>
      <w:lvlJc w:val="right"/>
      <w:pPr>
        <w:ind w:left="4952" w:hanging="180"/>
      </w:pPr>
    </w:lvl>
    <w:lvl w:ilvl="6" w:tplc="0414000F" w:tentative="1">
      <w:start w:val="1"/>
      <w:numFmt w:val="decimal"/>
      <w:lvlText w:val="%7."/>
      <w:lvlJc w:val="left"/>
      <w:pPr>
        <w:ind w:left="5672" w:hanging="360"/>
      </w:pPr>
    </w:lvl>
    <w:lvl w:ilvl="7" w:tplc="04140019" w:tentative="1">
      <w:start w:val="1"/>
      <w:numFmt w:val="lowerLetter"/>
      <w:lvlText w:val="%8."/>
      <w:lvlJc w:val="left"/>
      <w:pPr>
        <w:ind w:left="6392" w:hanging="360"/>
      </w:pPr>
    </w:lvl>
    <w:lvl w:ilvl="8" w:tplc="0414001B" w:tentative="1">
      <w:start w:val="1"/>
      <w:numFmt w:val="lowerRoman"/>
      <w:lvlText w:val="%9."/>
      <w:lvlJc w:val="right"/>
      <w:pPr>
        <w:ind w:left="7112" w:hanging="180"/>
      </w:pPr>
    </w:lvl>
  </w:abstractNum>
  <w:abstractNum w:abstractNumId="4">
    <w:nsid w:val="13AB3108"/>
    <w:multiLevelType w:val="hybridMultilevel"/>
    <w:tmpl w:val="8EF846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142F7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520AF9"/>
    <w:multiLevelType w:val="hybridMultilevel"/>
    <w:tmpl w:val="66D69480"/>
    <w:lvl w:ilvl="0" w:tplc="1C090005">
      <w:start w:val="1"/>
      <w:numFmt w:val="bullet"/>
      <w:lvlText w:val=""/>
      <w:lvlJc w:val="left"/>
      <w:pPr>
        <w:ind w:left="360" w:hanging="360"/>
      </w:pPr>
      <w:rPr>
        <w:rFonts w:ascii="Wingdings" w:hAnsi="Wingdings"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7">
    <w:nsid w:val="1A4A48D2"/>
    <w:multiLevelType w:val="hybridMultilevel"/>
    <w:tmpl w:val="D9FC4F8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nsid w:val="1BCE6879"/>
    <w:multiLevelType w:val="hybridMultilevel"/>
    <w:tmpl w:val="BDD8C23C"/>
    <w:lvl w:ilvl="0" w:tplc="04090005">
      <w:start w:val="1"/>
      <w:numFmt w:val="bullet"/>
      <w:lvlText w:val=""/>
      <w:lvlJc w:val="left"/>
      <w:pPr>
        <w:ind w:left="720" w:hanging="360"/>
      </w:pPr>
      <w:rPr>
        <w:rFonts w:ascii="Wingdings" w:hAnsi="Wingdings"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9">
    <w:nsid w:val="1E4A38E4"/>
    <w:multiLevelType w:val="hybridMultilevel"/>
    <w:tmpl w:val="49024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4729DD"/>
    <w:multiLevelType w:val="hybridMultilevel"/>
    <w:tmpl w:val="2500B364"/>
    <w:lvl w:ilvl="0" w:tplc="1A88578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496953"/>
    <w:multiLevelType w:val="hybridMultilevel"/>
    <w:tmpl w:val="BC0E1422"/>
    <w:lvl w:ilvl="0" w:tplc="0414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3FC06D4"/>
    <w:multiLevelType w:val="hybridMultilevel"/>
    <w:tmpl w:val="F54601AE"/>
    <w:lvl w:ilvl="0" w:tplc="53F8A6A0">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88160E"/>
    <w:multiLevelType w:val="hybridMultilevel"/>
    <w:tmpl w:val="A49693F6"/>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3A8B2DCC"/>
    <w:multiLevelType w:val="hybridMultilevel"/>
    <w:tmpl w:val="7F42971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nsid w:val="424C0C99"/>
    <w:multiLevelType w:val="hybridMultilevel"/>
    <w:tmpl w:val="F76A4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2C22BA"/>
    <w:multiLevelType w:val="multilevel"/>
    <w:tmpl w:val="04090025"/>
    <w:lvl w:ilvl="0">
      <w:start w:val="1"/>
      <w:numFmt w:val="decimal"/>
      <w:pStyle w:val="Virsraksts1"/>
      <w:lvlText w:val="%1"/>
      <w:lvlJc w:val="left"/>
      <w:pPr>
        <w:ind w:left="432" w:hanging="432"/>
      </w:p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17">
    <w:nsid w:val="49FC1995"/>
    <w:multiLevelType w:val="hybridMultilevel"/>
    <w:tmpl w:val="21B6B2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427722"/>
    <w:multiLevelType w:val="hybridMultilevel"/>
    <w:tmpl w:val="E1566494"/>
    <w:lvl w:ilvl="0" w:tplc="1C090005">
      <w:start w:val="1"/>
      <w:numFmt w:val="bullet"/>
      <w:lvlText w:val=""/>
      <w:lvlJc w:val="left"/>
      <w:pPr>
        <w:ind w:left="720" w:hanging="360"/>
      </w:pPr>
      <w:rPr>
        <w:rFonts w:ascii="Wingdings" w:hAnsi="Wingdings"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9">
    <w:nsid w:val="568906E6"/>
    <w:multiLevelType w:val="hybridMultilevel"/>
    <w:tmpl w:val="87542194"/>
    <w:lvl w:ilvl="0" w:tplc="1BBA05A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5E09A0"/>
    <w:multiLevelType w:val="hybridMultilevel"/>
    <w:tmpl w:val="569AE3D6"/>
    <w:lvl w:ilvl="0" w:tplc="2C80948A">
      <w:start w:val="1"/>
      <w:numFmt w:val="decimal"/>
      <w:lvlText w:val="%1)"/>
      <w:lvlJc w:val="left"/>
      <w:pPr>
        <w:ind w:left="1080" w:hanging="360"/>
      </w:pPr>
      <w:rPr>
        <w:rFonts w:asciiTheme="minorHAnsi" w:eastAsia="Times New Roman" w:hAnsiTheme="minorHAnsi" w:cs="Times New Roman"/>
        <w:sz w:val="24"/>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1">
    <w:nsid w:val="62826D69"/>
    <w:multiLevelType w:val="hybridMultilevel"/>
    <w:tmpl w:val="4D7299D6"/>
    <w:lvl w:ilvl="0" w:tplc="9FDAFDEC">
      <w:start w:val="1"/>
      <w:numFmt w:val="decimal"/>
      <w:lvlText w:val="%1."/>
      <w:lvlJc w:val="left"/>
      <w:pPr>
        <w:ind w:left="1080" w:hanging="360"/>
      </w:pPr>
      <w:rPr>
        <w:rFonts w:asciiTheme="majorHAnsi" w:eastAsiaTheme="majorEastAsia" w:hAnsiTheme="majorHAns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B557D5B"/>
    <w:multiLevelType w:val="hybridMultilevel"/>
    <w:tmpl w:val="CE1A5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811573"/>
    <w:multiLevelType w:val="hybridMultilevel"/>
    <w:tmpl w:val="6BB8080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9EA4D1A"/>
    <w:multiLevelType w:val="hybridMultilevel"/>
    <w:tmpl w:val="E9028894"/>
    <w:lvl w:ilvl="0" w:tplc="04140015">
      <w:start w:val="1"/>
      <w:numFmt w:val="upp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5">
    <w:nsid w:val="7D656A21"/>
    <w:multiLevelType w:val="hybridMultilevel"/>
    <w:tmpl w:val="8C10EA8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7"/>
  </w:num>
  <w:num w:numId="2">
    <w:abstractNumId w:val="1"/>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5"/>
  </w:num>
  <w:num w:numId="9">
    <w:abstractNumId w:val="11"/>
  </w:num>
  <w:num w:numId="10">
    <w:abstractNumId w:val="3"/>
  </w:num>
  <w:num w:numId="11">
    <w:abstractNumId w:val="21"/>
  </w:num>
  <w:num w:numId="12">
    <w:abstractNumId w:val="12"/>
  </w:num>
  <w:num w:numId="13">
    <w:abstractNumId w:val="20"/>
  </w:num>
  <w:num w:numId="14">
    <w:abstractNumId w:val="19"/>
  </w:num>
  <w:num w:numId="15">
    <w:abstractNumId w:val="23"/>
  </w:num>
  <w:num w:numId="16">
    <w:abstractNumId w:val="5"/>
  </w:num>
  <w:num w:numId="17">
    <w:abstractNumId w:val="16"/>
  </w:num>
  <w:num w:numId="18">
    <w:abstractNumId w:val="2"/>
  </w:num>
  <w:num w:numId="19">
    <w:abstractNumId w:val="24"/>
  </w:num>
  <w:num w:numId="20">
    <w:abstractNumId w:val="14"/>
  </w:num>
  <w:num w:numId="21">
    <w:abstractNumId w:val="13"/>
  </w:num>
  <w:num w:numId="22">
    <w:abstractNumId w:val="7"/>
  </w:num>
  <w:num w:numId="23">
    <w:abstractNumId w:val="4"/>
  </w:num>
  <w:num w:numId="24">
    <w:abstractNumId w:val="16"/>
  </w:num>
  <w:num w:numId="25">
    <w:abstractNumId w:val="0"/>
  </w:num>
  <w:num w:numId="26">
    <w:abstractNumId w:val="9"/>
  </w:num>
  <w:num w:numId="2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nb-NO"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it-CH" w:vendorID="64" w:dllVersion="131078" w:nlCheck="1" w:checkStyle="0"/>
  <w:activeWritingStyle w:appName="MSWord" w:lang="en-ZA" w:vendorID="64" w:dllVersion="131078" w:nlCheck="1" w:checkStyle="1"/>
  <w:activeWritingStyle w:appName="MSWord" w:lang="pt-BR" w:vendorID="64" w:dllVersion="131078" w:nlCheck="1" w:checkStyle="0"/>
  <w:activeWritingStyle w:appName="MSWord" w:lang="fr-FR" w:vendorID="64" w:dllVersion="131078"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DFA"/>
    <w:rsid w:val="000011C8"/>
    <w:rsid w:val="00002760"/>
    <w:rsid w:val="00005343"/>
    <w:rsid w:val="00013AD2"/>
    <w:rsid w:val="00014920"/>
    <w:rsid w:val="000151D0"/>
    <w:rsid w:val="000158DE"/>
    <w:rsid w:val="00017B9E"/>
    <w:rsid w:val="00020305"/>
    <w:rsid w:val="000207C2"/>
    <w:rsid w:val="00023599"/>
    <w:rsid w:val="0002415F"/>
    <w:rsid w:val="00032130"/>
    <w:rsid w:val="000334CD"/>
    <w:rsid w:val="00034CBE"/>
    <w:rsid w:val="00043898"/>
    <w:rsid w:val="00050C2C"/>
    <w:rsid w:val="000528AD"/>
    <w:rsid w:val="00052DB4"/>
    <w:rsid w:val="00054530"/>
    <w:rsid w:val="0005453A"/>
    <w:rsid w:val="000557BA"/>
    <w:rsid w:val="00070593"/>
    <w:rsid w:val="0007089F"/>
    <w:rsid w:val="00071642"/>
    <w:rsid w:val="000757EA"/>
    <w:rsid w:val="000772A9"/>
    <w:rsid w:val="000776A5"/>
    <w:rsid w:val="00080741"/>
    <w:rsid w:val="00083AE1"/>
    <w:rsid w:val="00083CE5"/>
    <w:rsid w:val="00085A1D"/>
    <w:rsid w:val="00086D35"/>
    <w:rsid w:val="00087E85"/>
    <w:rsid w:val="0009210B"/>
    <w:rsid w:val="00093A0E"/>
    <w:rsid w:val="00093B24"/>
    <w:rsid w:val="00097CB4"/>
    <w:rsid w:val="00097F54"/>
    <w:rsid w:val="000A1184"/>
    <w:rsid w:val="000A18EE"/>
    <w:rsid w:val="000A32E2"/>
    <w:rsid w:val="000A3534"/>
    <w:rsid w:val="000A50C8"/>
    <w:rsid w:val="000A787B"/>
    <w:rsid w:val="000C1713"/>
    <w:rsid w:val="000C2BD6"/>
    <w:rsid w:val="000C35C0"/>
    <w:rsid w:val="000C4067"/>
    <w:rsid w:val="000C6292"/>
    <w:rsid w:val="000C6B1F"/>
    <w:rsid w:val="000C6B5C"/>
    <w:rsid w:val="000C6E80"/>
    <w:rsid w:val="000C7DE0"/>
    <w:rsid w:val="000D0DD8"/>
    <w:rsid w:val="000D1E0A"/>
    <w:rsid w:val="000D4011"/>
    <w:rsid w:val="000D459E"/>
    <w:rsid w:val="000D5E7D"/>
    <w:rsid w:val="000E097C"/>
    <w:rsid w:val="000E22E1"/>
    <w:rsid w:val="000E2899"/>
    <w:rsid w:val="000E6018"/>
    <w:rsid w:val="000E6C1E"/>
    <w:rsid w:val="000E74F2"/>
    <w:rsid w:val="000F140E"/>
    <w:rsid w:val="000F15B7"/>
    <w:rsid w:val="000F24C0"/>
    <w:rsid w:val="000F28C6"/>
    <w:rsid w:val="000F4A88"/>
    <w:rsid w:val="000F574F"/>
    <w:rsid w:val="00100838"/>
    <w:rsid w:val="00104E40"/>
    <w:rsid w:val="001071D5"/>
    <w:rsid w:val="00107BC0"/>
    <w:rsid w:val="00107E92"/>
    <w:rsid w:val="00110DD8"/>
    <w:rsid w:val="00110E53"/>
    <w:rsid w:val="00114A1B"/>
    <w:rsid w:val="00115CCF"/>
    <w:rsid w:val="0011654E"/>
    <w:rsid w:val="0011700A"/>
    <w:rsid w:val="00120D10"/>
    <w:rsid w:val="001260B3"/>
    <w:rsid w:val="001305FB"/>
    <w:rsid w:val="00130BFD"/>
    <w:rsid w:val="0013222C"/>
    <w:rsid w:val="00132665"/>
    <w:rsid w:val="00135572"/>
    <w:rsid w:val="0014152B"/>
    <w:rsid w:val="001422F9"/>
    <w:rsid w:val="00144CA7"/>
    <w:rsid w:val="00152686"/>
    <w:rsid w:val="00154ABD"/>
    <w:rsid w:val="001568DB"/>
    <w:rsid w:val="00156B47"/>
    <w:rsid w:val="001576F9"/>
    <w:rsid w:val="00163182"/>
    <w:rsid w:val="0016501E"/>
    <w:rsid w:val="001665ED"/>
    <w:rsid w:val="00173DE3"/>
    <w:rsid w:val="00173FA1"/>
    <w:rsid w:val="00175657"/>
    <w:rsid w:val="001826C9"/>
    <w:rsid w:val="00183795"/>
    <w:rsid w:val="00185532"/>
    <w:rsid w:val="0018582D"/>
    <w:rsid w:val="001859C3"/>
    <w:rsid w:val="0019136B"/>
    <w:rsid w:val="001A1DF2"/>
    <w:rsid w:val="001B0489"/>
    <w:rsid w:val="001B0575"/>
    <w:rsid w:val="001B1B4D"/>
    <w:rsid w:val="001B3076"/>
    <w:rsid w:val="001B5527"/>
    <w:rsid w:val="001B7371"/>
    <w:rsid w:val="001B7BAC"/>
    <w:rsid w:val="001C11BF"/>
    <w:rsid w:val="001C2EB8"/>
    <w:rsid w:val="001D02FD"/>
    <w:rsid w:val="001D179A"/>
    <w:rsid w:val="001D7353"/>
    <w:rsid w:val="001E1B8A"/>
    <w:rsid w:val="001E2192"/>
    <w:rsid w:val="001E5B4E"/>
    <w:rsid w:val="001E6301"/>
    <w:rsid w:val="001E6CA5"/>
    <w:rsid w:val="001F4217"/>
    <w:rsid w:val="00200AAC"/>
    <w:rsid w:val="002024A7"/>
    <w:rsid w:val="00204687"/>
    <w:rsid w:val="00205128"/>
    <w:rsid w:val="00206504"/>
    <w:rsid w:val="00210915"/>
    <w:rsid w:val="002318EB"/>
    <w:rsid w:val="002342C4"/>
    <w:rsid w:val="0023532F"/>
    <w:rsid w:val="00236E9F"/>
    <w:rsid w:val="00237616"/>
    <w:rsid w:val="00237ADC"/>
    <w:rsid w:val="00242F7F"/>
    <w:rsid w:val="00250F44"/>
    <w:rsid w:val="002511C0"/>
    <w:rsid w:val="00251211"/>
    <w:rsid w:val="00251FBA"/>
    <w:rsid w:val="0025213D"/>
    <w:rsid w:val="00254132"/>
    <w:rsid w:val="002558A4"/>
    <w:rsid w:val="00257F07"/>
    <w:rsid w:val="00262BFD"/>
    <w:rsid w:val="00264089"/>
    <w:rsid w:val="002640DE"/>
    <w:rsid w:val="002662B9"/>
    <w:rsid w:val="0027020F"/>
    <w:rsid w:val="00270A83"/>
    <w:rsid w:val="002729B5"/>
    <w:rsid w:val="00275AE5"/>
    <w:rsid w:val="002763DA"/>
    <w:rsid w:val="00277BCE"/>
    <w:rsid w:val="00281212"/>
    <w:rsid w:val="00284AC3"/>
    <w:rsid w:val="00285A13"/>
    <w:rsid w:val="0029218D"/>
    <w:rsid w:val="00294CA3"/>
    <w:rsid w:val="002A1438"/>
    <w:rsid w:val="002A5D87"/>
    <w:rsid w:val="002B3319"/>
    <w:rsid w:val="002B38E6"/>
    <w:rsid w:val="002B4AB9"/>
    <w:rsid w:val="002B725D"/>
    <w:rsid w:val="002C0367"/>
    <w:rsid w:val="002C133A"/>
    <w:rsid w:val="002C27B4"/>
    <w:rsid w:val="002C682D"/>
    <w:rsid w:val="002C6AF2"/>
    <w:rsid w:val="002C7372"/>
    <w:rsid w:val="002D0E13"/>
    <w:rsid w:val="002D32F1"/>
    <w:rsid w:val="002D382F"/>
    <w:rsid w:val="002E02BC"/>
    <w:rsid w:val="002E2D53"/>
    <w:rsid w:val="002E66EA"/>
    <w:rsid w:val="002E6A35"/>
    <w:rsid w:val="002F04A1"/>
    <w:rsid w:val="002F146F"/>
    <w:rsid w:val="002F1A16"/>
    <w:rsid w:val="002F2ED7"/>
    <w:rsid w:val="002F5B2C"/>
    <w:rsid w:val="002F641D"/>
    <w:rsid w:val="002F720E"/>
    <w:rsid w:val="003037A8"/>
    <w:rsid w:val="00303CEA"/>
    <w:rsid w:val="00303EAC"/>
    <w:rsid w:val="00304539"/>
    <w:rsid w:val="0030642B"/>
    <w:rsid w:val="00307DD3"/>
    <w:rsid w:val="00313F33"/>
    <w:rsid w:val="00314C7F"/>
    <w:rsid w:val="0031579E"/>
    <w:rsid w:val="00315FD4"/>
    <w:rsid w:val="003167B6"/>
    <w:rsid w:val="00320E34"/>
    <w:rsid w:val="003224B5"/>
    <w:rsid w:val="00322518"/>
    <w:rsid w:val="003265DF"/>
    <w:rsid w:val="00330DB3"/>
    <w:rsid w:val="00330FE2"/>
    <w:rsid w:val="00332165"/>
    <w:rsid w:val="00333D70"/>
    <w:rsid w:val="00344C99"/>
    <w:rsid w:val="0034671B"/>
    <w:rsid w:val="003512DC"/>
    <w:rsid w:val="0035221E"/>
    <w:rsid w:val="00355030"/>
    <w:rsid w:val="00364C9D"/>
    <w:rsid w:val="00366302"/>
    <w:rsid w:val="00371BBB"/>
    <w:rsid w:val="00372299"/>
    <w:rsid w:val="00372DFB"/>
    <w:rsid w:val="003759A4"/>
    <w:rsid w:val="00375FA1"/>
    <w:rsid w:val="0037653D"/>
    <w:rsid w:val="00382FA2"/>
    <w:rsid w:val="0039197E"/>
    <w:rsid w:val="003948C6"/>
    <w:rsid w:val="003A0799"/>
    <w:rsid w:val="003A4829"/>
    <w:rsid w:val="003A4C16"/>
    <w:rsid w:val="003A59DA"/>
    <w:rsid w:val="003A6268"/>
    <w:rsid w:val="003A6C50"/>
    <w:rsid w:val="003B1AAA"/>
    <w:rsid w:val="003B1B36"/>
    <w:rsid w:val="003B1C3E"/>
    <w:rsid w:val="003B4A2D"/>
    <w:rsid w:val="003C1E01"/>
    <w:rsid w:val="003C37A9"/>
    <w:rsid w:val="003C3982"/>
    <w:rsid w:val="003C473C"/>
    <w:rsid w:val="003C49C0"/>
    <w:rsid w:val="003C5158"/>
    <w:rsid w:val="003C7A95"/>
    <w:rsid w:val="003D1EC7"/>
    <w:rsid w:val="003D6A64"/>
    <w:rsid w:val="003E1637"/>
    <w:rsid w:val="003E1B00"/>
    <w:rsid w:val="003E4512"/>
    <w:rsid w:val="003F1513"/>
    <w:rsid w:val="003F1899"/>
    <w:rsid w:val="003F671F"/>
    <w:rsid w:val="003F775F"/>
    <w:rsid w:val="0040006A"/>
    <w:rsid w:val="004002D4"/>
    <w:rsid w:val="00401742"/>
    <w:rsid w:val="004017CC"/>
    <w:rsid w:val="004037CC"/>
    <w:rsid w:val="004063A6"/>
    <w:rsid w:val="00406A08"/>
    <w:rsid w:val="00406E25"/>
    <w:rsid w:val="004116F0"/>
    <w:rsid w:val="00413782"/>
    <w:rsid w:val="00413840"/>
    <w:rsid w:val="00413CA7"/>
    <w:rsid w:val="00414021"/>
    <w:rsid w:val="00414606"/>
    <w:rsid w:val="0041601F"/>
    <w:rsid w:val="0041678C"/>
    <w:rsid w:val="0041732E"/>
    <w:rsid w:val="00417922"/>
    <w:rsid w:val="00424869"/>
    <w:rsid w:val="00426105"/>
    <w:rsid w:val="0043065C"/>
    <w:rsid w:val="00430F9D"/>
    <w:rsid w:val="004321A4"/>
    <w:rsid w:val="0043284D"/>
    <w:rsid w:val="0043707D"/>
    <w:rsid w:val="00440A5D"/>
    <w:rsid w:val="00440B76"/>
    <w:rsid w:val="00442BF9"/>
    <w:rsid w:val="00445ACA"/>
    <w:rsid w:val="00445CED"/>
    <w:rsid w:val="00446033"/>
    <w:rsid w:val="00452565"/>
    <w:rsid w:val="0045465B"/>
    <w:rsid w:val="00456220"/>
    <w:rsid w:val="00457029"/>
    <w:rsid w:val="004571D8"/>
    <w:rsid w:val="00457EED"/>
    <w:rsid w:val="004620D7"/>
    <w:rsid w:val="0046230D"/>
    <w:rsid w:val="00466274"/>
    <w:rsid w:val="00471239"/>
    <w:rsid w:val="00471A76"/>
    <w:rsid w:val="00473FC4"/>
    <w:rsid w:val="0047508E"/>
    <w:rsid w:val="00477A61"/>
    <w:rsid w:val="00477CA8"/>
    <w:rsid w:val="004808D7"/>
    <w:rsid w:val="00480E46"/>
    <w:rsid w:val="00481851"/>
    <w:rsid w:val="00481F4B"/>
    <w:rsid w:val="004820F5"/>
    <w:rsid w:val="00485B33"/>
    <w:rsid w:val="00486DCB"/>
    <w:rsid w:val="0049157F"/>
    <w:rsid w:val="00493CBC"/>
    <w:rsid w:val="00495672"/>
    <w:rsid w:val="004963F8"/>
    <w:rsid w:val="00497A5B"/>
    <w:rsid w:val="00497E7A"/>
    <w:rsid w:val="004A1F0A"/>
    <w:rsid w:val="004A3DA3"/>
    <w:rsid w:val="004A575C"/>
    <w:rsid w:val="004A715A"/>
    <w:rsid w:val="004B01D0"/>
    <w:rsid w:val="004B0C9A"/>
    <w:rsid w:val="004B2115"/>
    <w:rsid w:val="004B61E4"/>
    <w:rsid w:val="004B6296"/>
    <w:rsid w:val="004B64F0"/>
    <w:rsid w:val="004C0166"/>
    <w:rsid w:val="004C0790"/>
    <w:rsid w:val="004C0BF4"/>
    <w:rsid w:val="004C56CE"/>
    <w:rsid w:val="004C5F92"/>
    <w:rsid w:val="004C6E66"/>
    <w:rsid w:val="004D1017"/>
    <w:rsid w:val="004D25A8"/>
    <w:rsid w:val="004D2E7E"/>
    <w:rsid w:val="004E1917"/>
    <w:rsid w:val="004E220F"/>
    <w:rsid w:val="004E5B6E"/>
    <w:rsid w:val="004E75E4"/>
    <w:rsid w:val="004F0001"/>
    <w:rsid w:val="00500BA2"/>
    <w:rsid w:val="00501DA7"/>
    <w:rsid w:val="00503155"/>
    <w:rsid w:val="0051002A"/>
    <w:rsid w:val="005120C9"/>
    <w:rsid w:val="0051216F"/>
    <w:rsid w:val="005123D5"/>
    <w:rsid w:val="00512AF9"/>
    <w:rsid w:val="00513158"/>
    <w:rsid w:val="00514F31"/>
    <w:rsid w:val="005152B7"/>
    <w:rsid w:val="00515754"/>
    <w:rsid w:val="005163F3"/>
    <w:rsid w:val="00516C75"/>
    <w:rsid w:val="00517CBF"/>
    <w:rsid w:val="00517ED0"/>
    <w:rsid w:val="00521BEA"/>
    <w:rsid w:val="00521D6E"/>
    <w:rsid w:val="0052275E"/>
    <w:rsid w:val="00525263"/>
    <w:rsid w:val="00533BA7"/>
    <w:rsid w:val="005353F6"/>
    <w:rsid w:val="00537076"/>
    <w:rsid w:val="00541559"/>
    <w:rsid w:val="00543E1F"/>
    <w:rsid w:val="0054430D"/>
    <w:rsid w:val="00552BB9"/>
    <w:rsid w:val="00554241"/>
    <w:rsid w:val="0055447E"/>
    <w:rsid w:val="0056203D"/>
    <w:rsid w:val="00562949"/>
    <w:rsid w:val="005637C7"/>
    <w:rsid w:val="0056432E"/>
    <w:rsid w:val="00565468"/>
    <w:rsid w:val="005673CD"/>
    <w:rsid w:val="0057002C"/>
    <w:rsid w:val="005707EF"/>
    <w:rsid w:val="00571D2A"/>
    <w:rsid w:val="005730E0"/>
    <w:rsid w:val="005808D2"/>
    <w:rsid w:val="00581BAF"/>
    <w:rsid w:val="005847EF"/>
    <w:rsid w:val="00585305"/>
    <w:rsid w:val="0059102A"/>
    <w:rsid w:val="00591153"/>
    <w:rsid w:val="005911F6"/>
    <w:rsid w:val="00591A98"/>
    <w:rsid w:val="00592CDC"/>
    <w:rsid w:val="00593B67"/>
    <w:rsid w:val="005943F7"/>
    <w:rsid w:val="005946FB"/>
    <w:rsid w:val="00596F03"/>
    <w:rsid w:val="005A0B79"/>
    <w:rsid w:val="005A3D47"/>
    <w:rsid w:val="005B03AB"/>
    <w:rsid w:val="005B09C6"/>
    <w:rsid w:val="005B4B5B"/>
    <w:rsid w:val="005B5898"/>
    <w:rsid w:val="005C2D9C"/>
    <w:rsid w:val="005C3B25"/>
    <w:rsid w:val="005D1ECF"/>
    <w:rsid w:val="005D57C5"/>
    <w:rsid w:val="005E5CD1"/>
    <w:rsid w:val="005F4378"/>
    <w:rsid w:val="005F5D63"/>
    <w:rsid w:val="005F6925"/>
    <w:rsid w:val="0060531D"/>
    <w:rsid w:val="006059BB"/>
    <w:rsid w:val="00611DDB"/>
    <w:rsid w:val="00612004"/>
    <w:rsid w:val="006130AD"/>
    <w:rsid w:val="00613EAC"/>
    <w:rsid w:val="00615F68"/>
    <w:rsid w:val="00617CCF"/>
    <w:rsid w:val="0062132B"/>
    <w:rsid w:val="00622442"/>
    <w:rsid w:val="00622DDD"/>
    <w:rsid w:val="006237BE"/>
    <w:rsid w:val="00624F8B"/>
    <w:rsid w:val="00631867"/>
    <w:rsid w:val="006331C9"/>
    <w:rsid w:val="00635D8D"/>
    <w:rsid w:val="00636157"/>
    <w:rsid w:val="00637A9F"/>
    <w:rsid w:val="006420F0"/>
    <w:rsid w:val="00643EA6"/>
    <w:rsid w:val="0064535C"/>
    <w:rsid w:val="00647ECC"/>
    <w:rsid w:val="00650591"/>
    <w:rsid w:val="0065335D"/>
    <w:rsid w:val="0065386B"/>
    <w:rsid w:val="00655F0B"/>
    <w:rsid w:val="00665AD6"/>
    <w:rsid w:val="00665FE1"/>
    <w:rsid w:val="00670E00"/>
    <w:rsid w:val="00670E0D"/>
    <w:rsid w:val="00672AA2"/>
    <w:rsid w:val="00673737"/>
    <w:rsid w:val="00673E34"/>
    <w:rsid w:val="00673EC7"/>
    <w:rsid w:val="0067473B"/>
    <w:rsid w:val="0067600A"/>
    <w:rsid w:val="00676BA5"/>
    <w:rsid w:val="00677078"/>
    <w:rsid w:val="00677B21"/>
    <w:rsid w:val="00686AA3"/>
    <w:rsid w:val="00691D6B"/>
    <w:rsid w:val="0069213F"/>
    <w:rsid w:val="006978CC"/>
    <w:rsid w:val="00697D37"/>
    <w:rsid w:val="006A012D"/>
    <w:rsid w:val="006A22A5"/>
    <w:rsid w:val="006A4DA1"/>
    <w:rsid w:val="006B39FA"/>
    <w:rsid w:val="006B3DE9"/>
    <w:rsid w:val="006B476D"/>
    <w:rsid w:val="006C1172"/>
    <w:rsid w:val="006C15D9"/>
    <w:rsid w:val="006C3C39"/>
    <w:rsid w:val="006D5BC6"/>
    <w:rsid w:val="006D68D5"/>
    <w:rsid w:val="006E039C"/>
    <w:rsid w:val="006E1F67"/>
    <w:rsid w:val="006E3C34"/>
    <w:rsid w:val="006E49F9"/>
    <w:rsid w:val="006E7B15"/>
    <w:rsid w:val="006F0CE9"/>
    <w:rsid w:val="006F3F01"/>
    <w:rsid w:val="006F5F75"/>
    <w:rsid w:val="0070169A"/>
    <w:rsid w:val="007059CC"/>
    <w:rsid w:val="00706BD2"/>
    <w:rsid w:val="0071040F"/>
    <w:rsid w:val="007112AF"/>
    <w:rsid w:val="00711F85"/>
    <w:rsid w:val="00712DD2"/>
    <w:rsid w:val="00714A3B"/>
    <w:rsid w:val="007176EE"/>
    <w:rsid w:val="00726B57"/>
    <w:rsid w:val="00726D26"/>
    <w:rsid w:val="007305AD"/>
    <w:rsid w:val="00731EE9"/>
    <w:rsid w:val="0073496A"/>
    <w:rsid w:val="00734AC1"/>
    <w:rsid w:val="0073518A"/>
    <w:rsid w:val="0073532A"/>
    <w:rsid w:val="00735C02"/>
    <w:rsid w:val="00736F35"/>
    <w:rsid w:val="00737DC4"/>
    <w:rsid w:val="00744043"/>
    <w:rsid w:val="0075136A"/>
    <w:rsid w:val="00751972"/>
    <w:rsid w:val="00755F1B"/>
    <w:rsid w:val="00760EF6"/>
    <w:rsid w:val="00764657"/>
    <w:rsid w:val="00767940"/>
    <w:rsid w:val="00772503"/>
    <w:rsid w:val="00774A69"/>
    <w:rsid w:val="00777CEB"/>
    <w:rsid w:val="00780434"/>
    <w:rsid w:val="00780600"/>
    <w:rsid w:val="00781A80"/>
    <w:rsid w:val="00783F43"/>
    <w:rsid w:val="007862D6"/>
    <w:rsid w:val="0078719E"/>
    <w:rsid w:val="00787888"/>
    <w:rsid w:val="007909B4"/>
    <w:rsid w:val="00790F09"/>
    <w:rsid w:val="00793C9B"/>
    <w:rsid w:val="00793E49"/>
    <w:rsid w:val="007946AE"/>
    <w:rsid w:val="00794D65"/>
    <w:rsid w:val="00796683"/>
    <w:rsid w:val="00797990"/>
    <w:rsid w:val="007A0136"/>
    <w:rsid w:val="007A1433"/>
    <w:rsid w:val="007A191A"/>
    <w:rsid w:val="007A373F"/>
    <w:rsid w:val="007A64E3"/>
    <w:rsid w:val="007A65A9"/>
    <w:rsid w:val="007B0412"/>
    <w:rsid w:val="007B0544"/>
    <w:rsid w:val="007B203B"/>
    <w:rsid w:val="007B48F5"/>
    <w:rsid w:val="007B6953"/>
    <w:rsid w:val="007C0E4C"/>
    <w:rsid w:val="007C0E96"/>
    <w:rsid w:val="007C4035"/>
    <w:rsid w:val="007C4FD2"/>
    <w:rsid w:val="007D1ABF"/>
    <w:rsid w:val="007D21F0"/>
    <w:rsid w:val="007D5BC2"/>
    <w:rsid w:val="007D6AB6"/>
    <w:rsid w:val="007E2DED"/>
    <w:rsid w:val="007E6190"/>
    <w:rsid w:val="007E78DD"/>
    <w:rsid w:val="007E7BE4"/>
    <w:rsid w:val="007F0FB3"/>
    <w:rsid w:val="007F5555"/>
    <w:rsid w:val="00802894"/>
    <w:rsid w:val="00804EEB"/>
    <w:rsid w:val="00807B1C"/>
    <w:rsid w:val="00807D94"/>
    <w:rsid w:val="008104AE"/>
    <w:rsid w:val="00810ED7"/>
    <w:rsid w:val="008114C2"/>
    <w:rsid w:val="00817F41"/>
    <w:rsid w:val="008207E0"/>
    <w:rsid w:val="00825DBE"/>
    <w:rsid w:val="00825DFD"/>
    <w:rsid w:val="00826477"/>
    <w:rsid w:val="00830AFC"/>
    <w:rsid w:val="00830D53"/>
    <w:rsid w:val="00831E50"/>
    <w:rsid w:val="00833AD8"/>
    <w:rsid w:val="008358A2"/>
    <w:rsid w:val="00835BCB"/>
    <w:rsid w:val="0084130B"/>
    <w:rsid w:val="00841E53"/>
    <w:rsid w:val="00843951"/>
    <w:rsid w:val="00845C32"/>
    <w:rsid w:val="00847319"/>
    <w:rsid w:val="00854749"/>
    <w:rsid w:val="00855753"/>
    <w:rsid w:val="00856100"/>
    <w:rsid w:val="0086080D"/>
    <w:rsid w:val="00861E84"/>
    <w:rsid w:val="00866525"/>
    <w:rsid w:val="008708C9"/>
    <w:rsid w:val="008709B7"/>
    <w:rsid w:val="00870FAA"/>
    <w:rsid w:val="00871722"/>
    <w:rsid w:val="008736FE"/>
    <w:rsid w:val="00876474"/>
    <w:rsid w:val="008764F3"/>
    <w:rsid w:val="008768DF"/>
    <w:rsid w:val="0088087B"/>
    <w:rsid w:val="00882B9D"/>
    <w:rsid w:val="00883059"/>
    <w:rsid w:val="008856BC"/>
    <w:rsid w:val="00885EA7"/>
    <w:rsid w:val="008922E9"/>
    <w:rsid w:val="00892ED8"/>
    <w:rsid w:val="00893236"/>
    <w:rsid w:val="0089354B"/>
    <w:rsid w:val="008955BA"/>
    <w:rsid w:val="008956C0"/>
    <w:rsid w:val="00896FD9"/>
    <w:rsid w:val="00897F32"/>
    <w:rsid w:val="008A15A4"/>
    <w:rsid w:val="008A5494"/>
    <w:rsid w:val="008B0671"/>
    <w:rsid w:val="008B1F75"/>
    <w:rsid w:val="008B24FB"/>
    <w:rsid w:val="008B3BD7"/>
    <w:rsid w:val="008B4CE0"/>
    <w:rsid w:val="008B5A74"/>
    <w:rsid w:val="008B6554"/>
    <w:rsid w:val="008B7629"/>
    <w:rsid w:val="008C03A6"/>
    <w:rsid w:val="008C37C7"/>
    <w:rsid w:val="008C52FF"/>
    <w:rsid w:val="008C677A"/>
    <w:rsid w:val="008C6DAF"/>
    <w:rsid w:val="008D3B71"/>
    <w:rsid w:val="008E2294"/>
    <w:rsid w:val="008E4F0E"/>
    <w:rsid w:val="008E6698"/>
    <w:rsid w:val="008F0E35"/>
    <w:rsid w:val="0090226C"/>
    <w:rsid w:val="00902882"/>
    <w:rsid w:val="0090490A"/>
    <w:rsid w:val="009107F6"/>
    <w:rsid w:val="009125C7"/>
    <w:rsid w:val="00917D40"/>
    <w:rsid w:val="0092222F"/>
    <w:rsid w:val="009238B7"/>
    <w:rsid w:val="0092497B"/>
    <w:rsid w:val="00924CE7"/>
    <w:rsid w:val="009251D7"/>
    <w:rsid w:val="009255D8"/>
    <w:rsid w:val="00926D47"/>
    <w:rsid w:val="00930509"/>
    <w:rsid w:val="0093151E"/>
    <w:rsid w:val="00931F53"/>
    <w:rsid w:val="00932F1C"/>
    <w:rsid w:val="00942BFB"/>
    <w:rsid w:val="009458CB"/>
    <w:rsid w:val="00951560"/>
    <w:rsid w:val="00953705"/>
    <w:rsid w:val="00953A9F"/>
    <w:rsid w:val="009541B1"/>
    <w:rsid w:val="00956FE0"/>
    <w:rsid w:val="0096012C"/>
    <w:rsid w:val="00962A0E"/>
    <w:rsid w:val="0096358E"/>
    <w:rsid w:val="0096379B"/>
    <w:rsid w:val="00964C45"/>
    <w:rsid w:val="009663FF"/>
    <w:rsid w:val="00966CFE"/>
    <w:rsid w:val="00966E9D"/>
    <w:rsid w:val="00970892"/>
    <w:rsid w:val="009729CB"/>
    <w:rsid w:val="00981FEF"/>
    <w:rsid w:val="00983115"/>
    <w:rsid w:val="00984A9F"/>
    <w:rsid w:val="00986CEA"/>
    <w:rsid w:val="0099227D"/>
    <w:rsid w:val="0099504B"/>
    <w:rsid w:val="0099724E"/>
    <w:rsid w:val="00997A63"/>
    <w:rsid w:val="009A0B60"/>
    <w:rsid w:val="009A0EFF"/>
    <w:rsid w:val="009A29C2"/>
    <w:rsid w:val="009A35C6"/>
    <w:rsid w:val="009A580F"/>
    <w:rsid w:val="009B04BA"/>
    <w:rsid w:val="009B063A"/>
    <w:rsid w:val="009B199D"/>
    <w:rsid w:val="009B1DA4"/>
    <w:rsid w:val="009B3AAB"/>
    <w:rsid w:val="009B418E"/>
    <w:rsid w:val="009B515C"/>
    <w:rsid w:val="009B5EB2"/>
    <w:rsid w:val="009C1396"/>
    <w:rsid w:val="009C2219"/>
    <w:rsid w:val="009C22AB"/>
    <w:rsid w:val="009C69EB"/>
    <w:rsid w:val="009C7A36"/>
    <w:rsid w:val="009D0D18"/>
    <w:rsid w:val="009D2AA3"/>
    <w:rsid w:val="009D7493"/>
    <w:rsid w:val="009E06B5"/>
    <w:rsid w:val="009E0767"/>
    <w:rsid w:val="009E1179"/>
    <w:rsid w:val="009E5BEA"/>
    <w:rsid w:val="009F68C2"/>
    <w:rsid w:val="00A00935"/>
    <w:rsid w:val="00A05DF0"/>
    <w:rsid w:val="00A0669B"/>
    <w:rsid w:val="00A0733C"/>
    <w:rsid w:val="00A07C67"/>
    <w:rsid w:val="00A15752"/>
    <w:rsid w:val="00A20767"/>
    <w:rsid w:val="00A262F9"/>
    <w:rsid w:val="00A3328E"/>
    <w:rsid w:val="00A34460"/>
    <w:rsid w:val="00A34614"/>
    <w:rsid w:val="00A3598F"/>
    <w:rsid w:val="00A3785C"/>
    <w:rsid w:val="00A37CA1"/>
    <w:rsid w:val="00A40A3E"/>
    <w:rsid w:val="00A43158"/>
    <w:rsid w:val="00A43A59"/>
    <w:rsid w:val="00A47CC0"/>
    <w:rsid w:val="00A51A19"/>
    <w:rsid w:val="00A55A1F"/>
    <w:rsid w:val="00A5769A"/>
    <w:rsid w:val="00A576CE"/>
    <w:rsid w:val="00A604EF"/>
    <w:rsid w:val="00A614A0"/>
    <w:rsid w:val="00A6175E"/>
    <w:rsid w:val="00A637C9"/>
    <w:rsid w:val="00A703D9"/>
    <w:rsid w:val="00A71A08"/>
    <w:rsid w:val="00A7618C"/>
    <w:rsid w:val="00A8016E"/>
    <w:rsid w:val="00A80993"/>
    <w:rsid w:val="00A80AA6"/>
    <w:rsid w:val="00A8316C"/>
    <w:rsid w:val="00A85FF1"/>
    <w:rsid w:val="00A90114"/>
    <w:rsid w:val="00A93994"/>
    <w:rsid w:val="00A94143"/>
    <w:rsid w:val="00A948D9"/>
    <w:rsid w:val="00AA36EE"/>
    <w:rsid w:val="00AA5BC6"/>
    <w:rsid w:val="00AA7BAF"/>
    <w:rsid w:val="00AB11FC"/>
    <w:rsid w:val="00AB42A9"/>
    <w:rsid w:val="00AB4CA7"/>
    <w:rsid w:val="00AB5102"/>
    <w:rsid w:val="00AB62C9"/>
    <w:rsid w:val="00AC0A6C"/>
    <w:rsid w:val="00AC2576"/>
    <w:rsid w:val="00AC4479"/>
    <w:rsid w:val="00AC4D07"/>
    <w:rsid w:val="00AC6420"/>
    <w:rsid w:val="00AD42BC"/>
    <w:rsid w:val="00AD5171"/>
    <w:rsid w:val="00AE0561"/>
    <w:rsid w:val="00AE09D4"/>
    <w:rsid w:val="00AE3947"/>
    <w:rsid w:val="00AE679E"/>
    <w:rsid w:val="00AF0986"/>
    <w:rsid w:val="00AF7956"/>
    <w:rsid w:val="00B01668"/>
    <w:rsid w:val="00B02C7D"/>
    <w:rsid w:val="00B03EE8"/>
    <w:rsid w:val="00B05070"/>
    <w:rsid w:val="00B05F62"/>
    <w:rsid w:val="00B07D66"/>
    <w:rsid w:val="00B10D83"/>
    <w:rsid w:val="00B10DAE"/>
    <w:rsid w:val="00B139E2"/>
    <w:rsid w:val="00B14222"/>
    <w:rsid w:val="00B1493D"/>
    <w:rsid w:val="00B168AC"/>
    <w:rsid w:val="00B205F5"/>
    <w:rsid w:val="00B20727"/>
    <w:rsid w:val="00B2187A"/>
    <w:rsid w:val="00B22266"/>
    <w:rsid w:val="00B2318D"/>
    <w:rsid w:val="00B26D13"/>
    <w:rsid w:val="00B2769E"/>
    <w:rsid w:val="00B31D4B"/>
    <w:rsid w:val="00B35E3B"/>
    <w:rsid w:val="00B45E97"/>
    <w:rsid w:val="00B47633"/>
    <w:rsid w:val="00B505AA"/>
    <w:rsid w:val="00B50DBB"/>
    <w:rsid w:val="00B52AD4"/>
    <w:rsid w:val="00B562E2"/>
    <w:rsid w:val="00B57E56"/>
    <w:rsid w:val="00B61A5B"/>
    <w:rsid w:val="00B6372C"/>
    <w:rsid w:val="00B72FC4"/>
    <w:rsid w:val="00B756C4"/>
    <w:rsid w:val="00B80687"/>
    <w:rsid w:val="00B813F2"/>
    <w:rsid w:val="00B834C1"/>
    <w:rsid w:val="00B84083"/>
    <w:rsid w:val="00B85574"/>
    <w:rsid w:val="00B86436"/>
    <w:rsid w:val="00B86BB7"/>
    <w:rsid w:val="00B907B2"/>
    <w:rsid w:val="00B92175"/>
    <w:rsid w:val="00B92707"/>
    <w:rsid w:val="00B92C6F"/>
    <w:rsid w:val="00BA3867"/>
    <w:rsid w:val="00BA66CB"/>
    <w:rsid w:val="00BA6B71"/>
    <w:rsid w:val="00BA6E82"/>
    <w:rsid w:val="00BA7DD0"/>
    <w:rsid w:val="00BB043B"/>
    <w:rsid w:val="00BB1DC1"/>
    <w:rsid w:val="00BB5BE0"/>
    <w:rsid w:val="00BB7DFE"/>
    <w:rsid w:val="00BC12DD"/>
    <w:rsid w:val="00BC2915"/>
    <w:rsid w:val="00BC398E"/>
    <w:rsid w:val="00BD02E4"/>
    <w:rsid w:val="00BD0693"/>
    <w:rsid w:val="00BD0BE2"/>
    <w:rsid w:val="00BD2212"/>
    <w:rsid w:val="00BD3813"/>
    <w:rsid w:val="00BD4D38"/>
    <w:rsid w:val="00BE1A15"/>
    <w:rsid w:val="00BE4B5C"/>
    <w:rsid w:val="00BF0912"/>
    <w:rsid w:val="00BF2322"/>
    <w:rsid w:val="00BF2C81"/>
    <w:rsid w:val="00BF52E8"/>
    <w:rsid w:val="00BF6DFA"/>
    <w:rsid w:val="00C01885"/>
    <w:rsid w:val="00C01E6C"/>
    <w:rsid w:val="00C02C36"/>
    <w:rsid w:val="00C02CB9"/>
    <w:rsid w:val="00C06325"/>
    <w:rsid w:val="00C06C56"/>
    <w:rsid w:val="00C078FC"/>
    <w:rsid w:val="00C07B73"/>
    <w:rsid w:val="00C10652"/>
    <w:rsid w:val="00C11C40"/>
    <w:rsid w:val="00C11FCA"/>
    <w:rsid w:val="00C22BB2"/>
    <w:rsid w:val="00C25A1B"/>
    <w:rsid w:val="00C261BE"/>
    <w:rsid w:val="00C320EF"/>
    <w:rsid w:val="00C32DF7"/>
    <w:rsid w:val="00C367DF"/>
    <w:rsid w:val="00C370CE"/>
    <w:rsid w:val="00C378B5"/>
    <w:rsid w:val="00C400A4"/>
    <w:rsid w:val="00C408A8"/>
    <w:rsid w:val="00C41EDE"/>
    <w:rsid w:val="00C44A1F"/>
    <w:rsid w:val="00C46602"/>
    <w:rsid w:val="00C46CF4"/>
    <w:rsid w:val="00C478FA"/>
    <w:rsid w:val="00C535F2"/>
    <w:rsid w:val="00C54473"/>
    <w:rsid w:val="00C55C98"/>
    <w:rsid w:val="00C56270"/>
    <w:rsid w:val="00C60D55"/>
    <w:rsid w:val="00C6291E"/>
    <w:rsid w:val="00C63A75"/>
    <w:rsid w:val="00C739DA"/>
    <w:rsid w:val="00C80D12"/>
    <w:rsid w:val="00C81BC2"/>
    <w:rsid w:val="00C8484A"/>
    <w:rsid w:val="00C849D0"/>
    <w:rsid w:val="00C84C97"/>
    <w:rsid w:val="00C84D42"/>
    <w:rsid w:val="00C86B92"/>
    <w:rsid w:val="00C878D2"/>
    <w:rsid w:val="00C9008C"/>
    <w:rsid w:val="00C9055E"/>
    <w:rsid w:val="00C94766"/>
    <w:rsid w:val="00C966C8"/>
    <w:rsid w:val="00C967B1"/>
    <w:rsid w:val="00CA383E"/>
    <w:rsid w:val="00CA44DF"/>
    <w:rsid w:val="00CA66EE"/>
    <w:rsid w:val="00CA7ECF"/>
    <w:rsid w:val="00CB16C5"/>
    <w:rsid w:val="00CB5183"/>
    <w:rsid w:val="00CB54F7"/>
    <w:rsid w:val="00CB5A36"/>
    <w:rsid w:val="00CC0F69"/>
    <w:rsid w:val="00CC1EA0"/>
    <w:rsid w:val="00CC271A"/>
    <w:rsid w:val="00CC561F"/>
    <w:rsid w:val="00CC672B"/>
    <w:rsid w:val="00CD036B"/>
    <w:rsid w:val="00CD2CCD"/>
    <w:rsid w:val="00CD3A4B"/>
    <w:rsid w:val="00CD3F7F"/>
    <w:rsid w:val="00CD535F"/>
    <w:rsid w:val="00CD6AAF"/>
    <w:rsid w:val="00CD7A9F"/>
    <w:rsid w:val="00CE0F77"/>
    <w:rsid w:val="00CE3970"/>
    <w:rsid w:val="00CE58FE"/>
    <w:rsid w:val="00CE5D70"/>
    <w:rsid w:val="00CF2341"/>
    <w:rsid w:val="00CF3058"/>
    <w:rsid w:val="00D0002E"/>
    <w:rsid w:val="00D016C0"/>
    <w:rsid w:val="00D0502C"/>
    <w:rsid w:val="00D064FC"/>
    <w:rsid w:val="00D151F6"/>
    <w:rsid w:val="00D15C31"/>
    <w:rsid w:val="00D20395"/>
    <w:rsid w:val="00D247A0"/>
    <w:rsid w:val="00D255B7"/>
    <w:rsid w:val="00D270B3"/>
    <w:rsid w:val="00D30B48"/>
    <w:rsid w:val="00D31B05"/>
    <w:rsid w:val="00D33440"/>
    <w:rsid w:val="00D348A9"/>
    <w:rsid w:val="00D3735A"/>
    <w:rsid w:val="00D42B40"/>
    <w:rsid w:val="00D42C8C"/>
    <w:rsid w:val="00D45BF2"/>
    <w:rsid w:val="00D56633"/>
    <w:rsid w:val="00D56953"/>
    <w:rsid w:val="00D56A1E"/>
    <w:rsid w:val="00D63B6B"/>
    <w:rsid w:val="00D63C5C"/>
    <w:rsid w:val="00D6410B"/>
    <w:rsid w:val="00D6759D"/>
    <w:rsid w:val="00D74D4E"/>
    <w:rsid w:val="00D7530B"/>
    <w:rsid w:val="00D75C7E"/>
    <w:rsid w:val="00D767ED"/>
    <w:rsid w:val="00D76BD3"/>
    <w:rsid w:val="00D82384"/>
    <w:rsid w:val="00D82F4B"/>
    <w:rsid w:val="00D839DE"/>
    <w:rsid w:val="00D85F47"/>
    <w:rsid w:val="00D91DAC"/>
    <w:rsid w:val="00D93A88"/>
    <w:rsid w:val="00D9580D"/>
    <w:rsid w:val="00D97700"/>
    <w:rsid w:val="00D97DCF"/>
    <w:rsid w:val="00DA0074"/>
    <w:rsid w:val="00DA1D4F"/>
    <w:rsid w:val="00DA4200"/>
    <w:rsid w:val="00DA56A2"/>
    <w:rsid w:val="00DA7BF6"/>
    <w:rsid w:val="00DB2B40"/>
    <w:rsid w:val="00DB371E"/>
    <w:rsid w:val="00DB4602"/>
    <w:rsid w:val="00DB67B4"/>
    <w:rsid w:val="00DB745C"/>
    <w:rsid w:val="00DC0519"/>
    <w:rsid w:val="00DC0DEF"/>
    <w:rsid w:val="00DC2005"/>
    <w:rsid w:val="00DC4D46"/>
    <w:rsid w:val="00DC62B8"/>
    <w:rsid w:val="00DC6D97"/>
    <w:rsid w:val="00DC76BC"/>
    <w:rsid w:val="00DC796C"/>
    <w:rsid w:val="00DD2C59"/>
    <w:rsid w:val="00DD6C34"/>
    <w:rsid w:val="00DE418C"/>
    <w:rsid w:val="00DE4FDE"/>
    <w:rsid w:val="00DE53AE"/>
    <w:rsid w:val="00DF18FE"/>
    <w:rsid w:val="00DF2486"/>
    <w:rsid w:val="00DF4295"/>
    <w:rsid w:val="00DF451F"/>
    <w:rsid w:val="00DF5BEA"/>
    <w:rsid w:val="00DF658F"/>
    <w:rsid w:val="00DF69A8"/>
    <w:rsid w:val="00DF6B2F"/>
    <w:rsid w:val="00E020C9"/>
    <w:rsid w:val="00E02D03"/>
    <w:rsid w:val="00E03D75"/>
    <w:rsid w:val="00E1173D"/>
    <w:rsid w:val="00E24AD3"/>
    <w:rsid w:val="00E25EF1"/>
    <w:rsid w:val="00E2713D"/>
    <w:rsid w:val="00E30528"/>
    <w:rsid w:val="00E32C03"/>
    <w:rsid w:val="00E32D8E"/>
    <w:rsid w:val="00E34A69"/>
    <w:rsid w:val="00E3679A"/>
    <w:rsid w:val="00E37EBA"/>
    <w:rsid w:val="00E40A53"/>
    <w:rsid w:val="00E4533F"/>
    <w:rsid w:val="00E45A58"/>
    <w:rsid w:val="00E503D5"/>
    <w:rsid w:val="00E51733"/>
    <w:rsid w:val="00E5328B"/>
    <w:rsid w:val="00E54218"/>
    <w:rsid w:val="00E70136"/>
    <w:rsid w:val="00E71C80"/>
    <w:rsid w:val="00E73574"/>
    <w:rsid w:val="00E74887"/>
    <w:rsid w:val="00E74B8A"/>
    <w:rsid w:val="00E80259"/>
    <w:rsid w:val="00E8059B"/>
    <w:rsid w:val="00E816E9"/>
    <w:rsid w:val="00E8336A"/>
    <w:rsid w:val="00E85C29"/>
    <w:rsid w:val="00E85EB6"/>
    <w:rsid w:val="00E85FB7"/>
    <w:rsid w:val="00E879BA"/>
    <w:rsid w:val="00E90936"/>
    <w:rsid w:val="00E94358"/>
    <w:rsid w:val="00E95E38"/>
    <w:rsid w:val="00E97DBD"/>
    <w:rsid w:val="00EA2F1F"/>
    <w:rsid w:val="00EA7C76"/>
    <w:rsid w:val="00EB08FF"/>
    <w:rsid w:val="00EB1886"/>
    <w:rsid w:val="00EB4A26"/>
    <w:rsid w:val="00EB558F"/>
    <w:rsid w:val="00EB7D19"/>
    <w:rsid w:val="00EC0288"/>
    <w:rsid w:val="00EC22E1"/>
    <w:rsid w:val="00ED04F6"/>
    <w:rsid w:val="00ED0CF5"/>
    <w:rsid w:val="00ED19C6"/>
    <w:rsid w:val="00ED1A5F"/>
    <w:rsid w:val="00ED442D"/>
    <w:rsid w:val="00ED751A"/>
    <w:rsid w:val="00EE3F34"/>
    <w:rsid w:val="00EE6361"/>
    <w:rsid w:val="00EE793E"/>
    <w:rsid w:val="00EF0AE1"/>
    <w:rsid w:val="00EF2700"/>
    <w:rsid w:val="00EF6FE1"/>
    <w:rsid w:val="00EF7AF3"/>
    <w:rsid w:val="00EF7C42"/>
    <w:rsid w:val="00F0280B"/>
    <w:rsid w:val="00F101E0"/>
    <w:rsid w:val="00F13CC8"/>
    <w:rsid w:val="00F17015"/>
    <w:rsid w:val="00F21BE6"/>
    <w:rsid w:val="00F27581"/>
    <w:rsid w:val="00F3144C"/>
    <w:rsid w:val="00F32D89"/>
    <w:rsid w:val="00F3542C"/>
    <w:rsid w:val="00F35D69"/>
    <w:rsid w:val="00F368C6"/>
    <w:rsid w:val="00F36D73"/>
    <w:rsid w:val="00F407E8"/>
    <w:rsid w:val="00F41422"/>
    <w:rsid w:val="00F41B9B"/>
    <w:rsid w:val="00F4402E"/>
    <w:rsid w:val="00F4547F"/>
    <w:rsid w:val="00F45507"/>
    <w:rsid w:val="00F47625"/>
    <w:rsid w:val="00F5128D"/>
    <w:rsid w:val="00F51C9A"/>
    <w:rsid w:val="00F527A5"/>
    <w:rsid w:val="00F60860"/>
    <w:rsid w:val="00F609FD"/>
    <w:rsid w:val="00F651E7"/>
    <w:rsid w:val="00F66FBF"/>
    <w:rsid w:val="00F801BF"/>
    <w:rsid w:val="00F809FC"/>
    <w:rsid w:val="00F84041"/>
    <w:rsid w:val="00F8520D"/>
    <w:rsid w:val="00F90F15"/>
    <w:rsid w:val="00FA119C"/>
    <w:rsid w:val="00FA4465"/>
    <w:rsid w:val="00FA77AB"/>
    <w:rsid w:val="00FA7F8C"/>
    <w:rsid w:val="00FB4F25"/>
    <w:rsid w:val="00FB68F5"/>
    <w:rsid w:val="00FC1812"/>
    <w:rsid w:val="00FC23CE"/>
    <w:rsid w:val="00FC438B"/>
    <w:rsid w:val="00FC590D"/>
    <w:rsid w:val="00FC5E07"/>
    <w:rsid w:val="00FC7DF4"/>
    <w:rsid w:val="00FD0A35"/>
    <w:rsid w:val="00FD1505"/>
    <w:rsid w:val="00FD35A7"/>
    <w:rsid w:val="00FD5176"/>
    <w:rsid w:val="00FD562C"/>
    <w:rsid w:val="00FE0905"/>
    <w:rsid w:val="00FE0F67"/>
    <w:rsid w:val="00FE3548"/>
    <w:rsid w:val="00FE588D"/>
    <w:rsid w:val="00FE79B5"/>
    <w:rsid w:val="00FF15D2"/>
    <w:rsid w:val="00FF6059"/>
    <w:rsid w:val="00FF670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237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909B4"/>
    <w:rPr>
      <w:rFonts w:eastAsiaTheme="minorEastAsia"/>
      <w:lang w:val="en-GB" w:eastAsia="en-GB"/>
    </w:rPr>
  </w:style>
  <w:style w:type="paragraph" w:styleId="Virsraksts1">
    <w:name w:val="heading 1"/>
    <w:basedOn w:val="Parasts"/>
    <w:next w:val="Parasts"/>
    <w:link w:val="Virsraksts1Rakstz"/>
    <w:uiPriority w:val="9"/>
    <w:qFormat/>
    <w:rsid w:val="0088087B"/>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88087B"/>
    <w:pPr>
      <w:keepNext/>
      <w:keepLines/>
      <w:numPr>
        <w:ilvl w:val="1"/>
        <w:numId w:val="17"/>
      </w:numPr>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88087B"/>
    <w:pPr>
      <w:keepNext/>
      <w:keepLines/>
      <w:numPr>
        <w:ilvl w:val="2"/>
        <w:numId w:val="17"/>
      </w:numPr>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CE5D70"/>
    <w:pPr>
      <w:keepNext/>
      <w:keepLines/>
      <w:numPr>
        <w:ilvl w:val="3"/>
        <w:numId w:val="17"/>
      </w:numPr>
      <w:spacing w:before="40" w:after="0"/>
      <w:outlineLvl w:val="3"/>
    </w:pPr>
    <w:rPr>
      <w:rFonts w:asciiTheme="majorHAnsi" w:eastAsiaTheme="majorEastAsia" w:hAnsiTheme="majorHAnsi" w:cstheme="majorBidi"/>
      <w:i/>
      <w:iCs/>
      <w:color w:val="365F91" w:themeColor="accent1" w:themeShade="BF"/>
    </w:rPr>
  </w:style>
  <w:style w:type="paragraph" w:styleId="Virsraksts5">
    <w:name w:val="heading 5"/>
    <w:basedOn w:val="Parasts"/>
    <w:next w:val="Parasts"/>
    <w:link w:val="Virsraksts5Rakstz"/>
    <w:uiPriority w:val="9"/>
    <w:semiHidden/>
    <w:unhideWhenUsed/>
    <w:qFormat/>
    <w:rsid w:val="00CE5D70"/>
    <w:pPr>
      <w:keepNext/>
      <w:keepLines/>
      <w:numPr>
        <w:ilvl w:val="4"/>
        <w:numId w:val="17"/>
      </w:numPr>
      <w:spacing w:before="40" w:after="0"/>
      <w:outlineLvl w:val="4"/>
    </w:pPr>
    <w:rPr>
      <w:rFonts w:asciiTheme="majorHAnsi" w:eastAsiaTheme="majorEastAsia" w:hAnsiTheme="majorHAnsi" w:cstheme="majorBidi"/>
      <w:color w:val="365F91" w:themeColor="accent1" w:themeShade="BF"/>
    </w:rPr>
  </w:style>
  <w:style w:type="paragraph" w:styleId="Virsraksts6">
    <w:name w:val="heading 6"/>
    <w:basedOn w:val="Parasts"/>
    <w:next w:val="Parasts"/>
    <w:link w:val="Virsraksts6Rakstz"/>
    <w:uiPriority w:val="9"/>
    <w:semiHidden/>
    <w:unhideWhenUsed/>
    <w:qFormat/>
    <w:rsid w:val="00CE5D70"/>
    <w:pPr>
      <w:keepNext/>
      <w:keepLines/>
      <w:numPr>
        <w:ilvl w:val="5"/>
        <w:numId w:val="17"/>
      </w:numPr>
      <w:spacing w:before="40" w:after="0"/>
      <w:outlineLvl w:val="5"/>
    </w:pPr>
    <w:rPr>
      <w:rFonts w:asciiTheme="majorHAnsi" w:eastAsiaTheme="majorEastAsia" w:hAnsiTheme="majorHAnsi" w:cstheme="majorBidi"/>
      <w:color w:val="243F60" w:themeColor="accent1" w:themeShade="7F"/>
    </w:rPr>
  </w:style>
  <w:style w:type="paragraph" w:styleId="Virsraksts7">
    <w:name w:val="heading 7"/>
    <w:basedOn w:val="Parasts"/>
    <w:next w:val="Parasts"/>
    <w:link w:val="Virsraksts7Rakstz"/>
    <w:uiPriority w:val="9"/>
    <w:semiHidden/>
    <w:unhideWhenUsed/>
    <w:qFormat/>
    <w:rsid w:val="00CE5D70"/>
    <w:pPr>
      <w:keepNext/>
      <w:keepLines/>
      <w:numPr>
        <w:ilvl w:val="6"/>
        <w:numId w:val="17"/>
      </w:numPr>
      <w:spacing w:before="40" w:after="0"/>
      <w:outlineLvl w:val="6"/>
    </w:pPr>
    <w:rPr>
      <w:rFonts w:asciiTheme="majorHAnsi" w:eastAsiaTheme="majorEastAsia" w:hAnsiTheme="majorHAnsi" w:cstheme="majorBidi"/>
      <w:i/>
      <w:iCs/>
      <w:color w:val="243F60" w:themeColor="accent1" w:themeShade="7F"/>
    </w:rPr>
  </w:style>
  <w:style w:type="paragraph" w:styleId="Virsraksts8">
    <w:name w:val="heading 8"/>
    <w:basedOn w:val="Parasts"/>
    <w:next w:val="Parasts"/>
    <w:link w:val="Virsraksts8Rakstz"/>
    <w:uiPriority w:val="9"/>
    <w:semiHidden/>
    <w:unhideWhenUsed/>
    <w:qFormat/>
    <w:rsid w:val="00CE5D70"/>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CE5D70"/>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BF6DFA"/>
    <w:pPr>
      <w:ind w:left="720"/>
      <w:contextualSpacing/>
    </w:pPr>
  </w:style>
  <w:style w:type="table" w:styleId="Reatabula">
    <w:name w:val="Table Grid"/>
    <w:basedOn w:val="Parastatabula"/>
    <w:uiPriority w:val="59"/>
    <w:rsid w:val="00BF6DFA"/>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nhideWhenUsed/>
    <w:rsid w:val="00BF2322"/>
    <w:pPr>
      <w:tabs>
        <w:tab w:val="center" w:pos="4703"/>
        <w:tab w:val="right" w:pos="9406"/>
      </w:tabs>
      <w:spacing w:after="0" w:line="240" w:lineRule="auto"/>
    </w:pPr>
  </w:style>
  <w:style w:type="character" w:customStyle="1" w:styleId="GalveneRakstz">
    <w:name w:val="Galvene Rakstz."/>
    <w:basedOn w:val="Noklusjumarindkopasfonts"/>
    <w:link w:val="Galvene"/>
    <w:rsid w:val="00BF2322"/>
    <w:rPr>
      <w:rFonts w:eastAsiaTheme="minorEastAsia"/>
      <w:lang w:val="en-GB" w:eastAsia="en-GB"/>
    </w:rPr>
  </w:style>
  <w:style w:type="paragraph" w:styleId="Kjene">
    <w:name w:val="footer"/>
    <w:basedOn w:val="Parasts"/>
    <w:link w:val="KjeneRakstz"/>
    <w:unhideWhenUsed/>
    <w:rsid w:val="00BF2322"/>
    <w:pPr>
      <w:tabs>
        <w:tab w:val="center" w:pos="4703"/>
        <w:tab w:val="right" w:pos="9406"/>
      </w:tabs>
      <w:spacing w:after="0" w:line="240" w:lineRule="auto"/>
    </w:pPr>
  </w:style>
  <w:style w:type="character" w:customStyle="1" w:styleId="KjeneRakstz">
    <w:name w:val="Kājene Rakstz."/>
    <w:basedOn w:val="Noklusjumarindkopasfonts"/>
    <w:link w:val="Kjene"/>
    <w:rsid w:val="00BF2322"/>
    <w:rPr>
      <w:rFonts w:eastAsiaTheme="minorEastAsia"/>
      <w:lang w:val="en-GB" w:eastAsia="en-GB"/>
    </w:rPr>
  </w:style>
  <w:style w:type="paragraph" w:styleId="Bezatstarpm">
    <w:name w:val="No Spacing"/>
    <w:link w:val="BezatstarpmRakstz"/>
    <w:uiPriority w:val="1"/>
    <w:qFormat/>
    <w:rsid w:val="00023599"/>
    <w:pPr>
      <w:spacing w:after="0" w:line="240" w:lineRule="auto"/>
    </w:pPr>
    <w:rPr>
      <w:rFonts w:ascii="Calibri" w:eastAsia="Times New Roman" w:hAnsi="Calibri" w:cs="Times New Roman"/>
    </w:rPr>
  </w:style>
  <w:style w:type="character" w:customStyle="1" w:styleId="BezatstarpmRakstz">
    <w:name w:val="Bez atstarpēm Rakstz."/>
    <w:basedOn w:val="Noklusjumarindkopasfonts"/>
    <w:link w:val="Bezatstarpm"/>
    <w:uiPriority w:val="1"/>
    <w:rsid w:val="00023599"/>
    <w:rPr>
      <w:rFonts w:ascii="Calibri" w:eastAsia="Times New Roman" w:hAnsi="Calibri" w:cs="Times New Roman"/>
    </w:rPr>
  </w:style>
  <w:style w:type="paragraph" w:styleId="Balonteksts">
    <w:name w:val="Balloon Text"/>
    <w:basedOn w:val="Parasts"/>
    <w:link w:val="BalontekstsRakstz"/>
    <w:semiHidden/>
    <w:unhideWhenUsed/>
    <w:rsid w:val="00023599"/>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23599"/>
    <w:rPr>
      <w:rFonts w:ascii="Tahoma" w:eastAsiaTheme="minorEastAsia" w:hAnsi="Tahoma" w:cs="Tahoma"/>
      <w:sz w:val="16"/>
      <w:szCs w:val="16"/>
      <w:lang w:val="en-GB" w:eastAsia="en-GB"/>
    </w:rPr>
  </w:style>
  <w:style w:type="character" w:customStyle="1" w:styleId="Virsraksts1Rakstz">
    <w:name w:val="Virsraksts 1 Rakstz."/>
    <w:basedOn w:val="Noklusjumarindkopasfonts"/>
    <w:link w:val="Virsraksts1"/>
    <w:uiPriority w:val="9"/>
    <w:rsid w:val="0088087B"/>
    <w:rPr>
      <w:rFonts w:asciiTheme="majorHAnsi" w:eastAsiaTheme="majorEastAsia" w:hAnsiTheme="majorHAnsi" w:cstheme="majorBidi"/>
      <w:b/>
      <w:bCs/>
      <w:color w:val="365F91" w:themeColor="accent1" w:themeShade="BF"/>
      <w:sz w:val="28"/>
      <w:szCs w:val="28"/>
      <w:lang w:val="en-GB" w:eastAsia="en-GB"/>
    </w:rPr>
  </w:style>
  <w:style w:type="character" w:customStyle="1" w:styleId="Virsraksts2Rakstz">
    <w:name w:val="Virsraksts 2 Rakstz."/>
    <w:basedOn w:val="Noklusjumarindkopasfonts"/>
    <w:link w:val="Virsraksts2"/>
    <w:uiPriority w:val="9"/>
    <w:rsid w:val="0088087B"/>
    <w:rPr>
      <w:rFonts w:asciiTheme="majorHAnsi" w:eastAsiaTheme="majorEastAsia" w:hAnsiTheme="majorHAnsi" w:cstheme="majorBidi"/>
      <w:b/>
      <w:bCs/>
      <w:color w:val="4F81BD" w:themeColor="accent1"/>
      <w:sz w:val="26"/>
      <w:szCs w:val="26"/>
      <w:lang w:val="en-GB" w:eastAsia="en-GB"/>
    </w:rPr>
  </w:style>
  <w:style w:type="character" w:customStyle="1" w:styleId="Virsraksts3Rakstz">
    <w:name w:val="Virsraksts 3 Rakstz."/>
    <w:basedOn w:val="Noklusjumarindkopasfonts"/>
    <w:link w:val="Virsraksts3"/>
    <w:uiPriority w:val="9"/>
    <w:rsid w:val="0088087B"/>
    <w:rPr>
      <w:rFonts w:asciiTheme="majorHAnsi" w:eastAsiaTheme="majorEastAsia" w:hAnsiTheme="majorHAnsi" w:cstheme="majorBidi"/>
      <w:b/>
      <w:bCs/>
      <w:color w:val="4F81BD" w:themeColor="accent1"/>
      <w:lang w:val="en-GB" w:eastAsia="en-GB"/>
    </w:rPr>
  </w:style>
  <w:style w:type="paragraph" w:styleId="Vresteksts">
    <w:name w:val="footnote text"/>
    <w:basedOn w:val="Parasts"/>
    <w:link w:val="VrestekstsRakstz"/>
    <w:uiPriority w:val="99"/>
    <w:unhideWhenUsed/>
    <w:rsid w:val="00EF0AE1"/>
    <w:pPr>
      <w:spacing w:after="0" w:line="240" w:lineRule="auto"/>
    </w:pPr>
    <w:rPr>
      <w:rFonts w:eastAsiaTheme="minorHAnsi"/>
      <w:sz w:val="20"/>
      <w:szCs w:val="20"/>
      <w:lang w:val="en-US" w:eastAsia="en-US"/>
    </w:rPr>
  </w:style>
  <w:style w:type="character" w:customStyle="1" w:styleId="VrestekstsRakstz">
    <w:name w:val="Vēres teksts Rakstz."/>
    <w:basedOn w:val="Noklusjumarindkopasfonts"/>
    <w:link w:val="Vresteksts"/>
    <w:uiPriority w:val="99"/>
    <w:rsid w:val="00EF0AE1"/>
    <w:rPr>
      <w:sz w:val="20"/>
      <w:szCs w:val="20"/>
    </w:rPr>
  </w:style>
  <w:style w:type="character" w:styleId="Vresatsauce">
    <w:name w:val="footnote reference"/>
    <w:basedOn w:val="Noklusjumarindkopasfonts"/>
    <w:uiPriority w:val="99"/>
    <w:unhideWhenUsed/>
    <w:rsid w:val="00EF0AE1"/>
    <w:rPr>
      <w:vertAlign w:val="superscript"/>
    </w:rPr>
  </w:style>
  <w:style w:type="character" w:customStyle="1" w:styleId="hps">
    <w:name w:val="hps"/>
    <w:basedOn w:val="Noklusjumarindkopasfonts"/>
    <w:rsid w:val="00503155"/>
  </w:style>
  <w:style w:type="paragraph" w:styleId="Saturardtjavirsraksts">
    <w:name w:val="TOC Heading"/>
    <w:basedOn w:val="Virsraksts1"/>
    <w:next w:val="Parasts"/>
    <w:uiPriority w:val="39"/>
    <w:unhideWhenUsed/>
    <w:qFormat/>
    <w:rsid w:val="008768DF"/>
    <w:pPr>
      <w:outlineLvl w:val="9"/>
    </w:pPr>
    <w:rPr>
      <w:lang w:val="en-US" w:eastAsia="en-US"/>
    </w:rPr>
  </w:style>
  <w:style w:type="paragraph" w:styleId="Saturs1">
    <w:name w:val="toc 1"/>
    <w:basedOn w:val="Parasts"/>
    <w:next w:val="Parasts"/>
    <w:autoRedefine/>
    <w:uiPriority w:val="39"/>
    <w:unhideWhenUsed/>
    <w:rsid w:val="008768DF"/>
    <w:pPr>
      <w:spacing w:after="100"/>
    </w:pPr>
  </w:style>
  <w:style w:type="paragraph" w:styleId="Saturs2">
    <w:name w:val="toc 2"/>
    <w:basedOn w:val="Parasts"/>
    <w:next w:val="Parasts"/>
    <w:autoRedefine/>
    <w:uiPriority w:val="39"/>
    <w:unhideWhenUsed/>
    <w:rsid w:val="008768DF"/>
    <w:pPr>
      <w:spacing w:after="100"/>
      <w:ind w:left="220"/>
    </w:pPr>
  </w:style>
  <w:style w:type="paragraph" w:styleId="Saturs3">
    <w:name w:val="toc 3"/>
    <w:basedOn w:val="Parasts"/>
    <w:next w:val="Parasts"/>
    <w:autoRedefine/>
    <w:uiPriority w:val="39"/>
    <w:unhideWhenUsed/>
    <w:rsid w:val="008768DF"/>
    <w:pPr>
      <w:spacing w:after="100"/>
      <w:ind w:left="440"/>
    </w:pPr>
  </w:style>
  <w:style w:type="character" w:styleId="Hipersaite">
    <w:name w:val="Hyperlink"/>
    <w:basedOn w:val="Noklusjumarindkopasfonts"/>
    <w:uiPriority w:val="99"/>
    <w:unhideWhenUsed/>
    <w:rsid w:val="008768DF"/>
    <w:rPr>
      <w:color w:val="0000FF" w:themeColor="hyperlink"/>
      <w:u w:val="single"/>
    </w:rPr>
  </w:style>
  <w:style w:type="paragraph" w:styleId="Vienkrsteksts">
    <w:name w:val="Plain Text"/>
    <w:basedOn w:val="Parasts"/>
    <w:link w:val="VienkrstekstsRakstz"/>
    <w:uiPriority w:val="99"/>
    <w:unhideWhenUsed/>
    <w:rsid w:val="00E73574"/>
    <w:pPr>
      <w:spacing w:after="0" w:line="240" w:lineRule="auto"/>
    </w:pPr>
    <w:rPr>
      <w:rFonts w:ascii="Consolas" w:eastAsiaTheme="minorHAnsi" w:hAnsi="Consolas"/>
      <w:sz w:val="21"/>
      <w:szCs w:val="21"/>
      <w:lang w:val="en-US" w:eastAsia="en-US"/>
    </w:rPr>
  </w:style>
  <w:style w:type="character" w:customStyle="1" w:styleId="VienkrstekstsRakstz">
    <w:name w:val="Vienkāršs teksts Rakstz."/>
    <w:basedOn w:val="Noklusjumarindkopasfonts"/>
    <w:link w:val="Vienkrsteksts"/>
    <w:uiPriority w:val="99"/>
    <w:rsid w:val="00E73574"/>
    <w:rPr>
      <w:rFonts w:ascii="Consolas" w:hAnsi="Consolas"/>
      <w:sz w:val="21"/>
      <w:szCs w:val="21"/>
    </w:rPr>
  </w:style>
  <w:style w:type="character" w:styleId="Komentraatsauce">
    <w:name w:val="annotation reference"/>
    <w:basedOn w:val="Noklusjumarindkopasfonts"/>
    <w:uiPriority w:val="99"/>
    <w:semiHidden/>
    <w:unhideWhenUsed/>
    <w:rsid w:val="00970892"/>
    <w:rPr>
      <w:sz w:val="16"/>
      <w:szCs w:val="16"/>
    </w:rPr>
  </w:style>
  <w:style w:type="paragraph" w:styleId="Komentrateksts">
    <w:name w:val="annotation text"/>
    <w:basedOn w:val="Parasts"/>
    <w:link w:val="KomentratekstsRakstz"/>
    <w:uiPriority w:val="99"/>
    <w:unhideWhenUsed/>
    <w:rsid w:val="00970892"/>
    <w:pPr>
      <w:spacing w:line="240" w:lineRule="auto"/>
    </w:pPr>
    <w:rPr>
      <w:sz w:val="20"/>
      <w:szCs w:val="20"/>
    </w:rPr>
  </w:style>
  <w:style w:type="character" w:customStyle="1" w:styleId="KomentratekstsRakstz">
    <w:name w:val="Komentāra teksts Rakstz."/>
    <w:basedOn w:val="Noklusjumarindkopasfonts"/>
    <w:link w:val="Komentrateksts"/>
    <w:uiPriority w:val="99"/>
    <w:rsid w:val="00970892"/>
    <w:rPr>
      <w:rFonts w:eastAsiaTheme="minorEastAsia"/>
      <w:sz w:val="20"/>
      <w:szCs w:val="20"/>
      <w:lang w:val="en-GB" w:eastAsia="en-GB"/>
    </w:rPr>
  </w:style>
  <w:style w:type="paragraph" w:styleId="Komentratma">
    <w:name w:val="annotation subject"/>
    <w:basedOn w:val="Komentrateksts"/>
    <w:next w:val="Komentrateksts"/>
    <w:link w:val="KomentratmaRakstz"/>
    <w:uiPriority w:val="99"/>
    <w:semiHidden/>
    <w:unhideWhenUsed/>
    <w:rsid w:val="00970892"/>
    <w:rPr>
      <w:b/>
      <w:bCs/>
    </w:rPr>
  </w:style>
  <w:style w:type="character" w:customStyle="1" w:styleId="KomentratmaRakstz">
    <w:name w:val="Komentāra tēma Rakstz."/>
    <w:basedOn w:val="KomentratekstsRakstz"/>
    <w:link w:val="Komentratma"/>
    <w:uiPriority w:val="99"/>
    <w:semiHidden/>
    <w:rsid w:val="00970892"/>
    <w:rPr>
      <w:rFonts w:eastAsiaTheme="minorEastAsia"/>
      <w:b/>
      <w:bCs/>
      <w:sz w:val="20"/>
      <w:szCs w:val="20"/>
      <w:lang w:val="en-GB" w:eastAsia="en-GB"/>
    </w:rPr>
  </w:style>
  <w:style w:type="paragraph" w:customStyle="1" w:styleId="Default">
    <w:name w:val="Default"/>
    <w:rsid w:val="00237ADC"/>
    <w:pPr>
      <w:autoSpaceDE w:val="0"/>
      <w:autoSpaceDN w:val="0"/>
      <w:adjustRightInd w:val="0"/>
      <w:spacing w:after="0" w:line="240" w:lineRule="auto"/>
    </w:pPr>
    <w:rPr>
      <w:rFonts w:ascii="Times New Roman" w:hAnsi="Times New Roman" w:cs="Times New Roman"/>
      <w:color w:val="000000"/>
      <w:sz w:val="24"/>
      <w:szCs w:val="24"/>
    </w:rPr>
  </w:style>
  <w:style w:type="paragraph" w:styleId="Prskatjums">
    <w:name w:val="Revision"/>
    <w:hidden/>
    <w:uiPriority w:val="99"/>
    <w:semiHidden/>
    <w:rsid w:val="00457EED"/>
    <w:pPr>
      <w:spacing w:after="0" w:line="240" w:lineRule="auto"/>
    </w:pPr>
    <w:rPr>
      <w:rFonts w:eastAsiaTheme="minorEastAsia"/>
      <w:lang w:val="en-GB" w:eastAsia="en-GB"/>
    </w:rPr>
  </w:style>
  <w:style w:type="paragraph" w:styleId="Dokumentakarte">
    <w:name w:val="Document Map"/>
    <w:basedOn w:val="Parasts"/>
    <w:link w:val="DokumentakarteRakstz"/>
    <w:uiPriority w:val="99"/>
    <w:semiHidden/>
    <w:unhideWhenUsed/>
    <w:rsid w:val="00414021"/>
    <w:pPr>
      <w:spacing w:after="0" w:line="240" w:lineRule="auto"/>
    </w:pPr>
    <w:rPr>
      <w:rFonts w:ascii="Tahoma" w:hAnsi="Tahoma" w:cs="Tahoma"/>
      <w:sz w:val="16"/>
      <w:szCs w:val="16"/>
    </w:rPr>
  </w:style>
  <w:style w:type="character" w:customStyle="1" w:styleId="DokumentakarteRakstz">
    <w:name w:val="Dokumenta karte Rakstz."/>
    <w:basedOn w:val="Noklusjumarindkopasfonts"/>
    <w:link w:val="Dokumentakarte"/>
    <w:uiPriority w:val="99"/>
    <w:semiHidden/>
    <w:rsid w:val="00414021"/>
    <w:rPr>
      <w:rFonts w:ascii="Tahoma" w:eastAsiaTheme="minorEastAsia" w:hAnsi="Tahoma" w:cs="Tahoma"/>
      <w:sz w:val="16"/>
      <w:szCs w:val="16"/>
      <w:lang w:val="en-GB" w:eastAsia="en-GB"/>
    </w:rPr>
  </w:style>
  <w:style w:type="paragraph" w:customStyle="1" w:styleId="Heading41">
    <w:name w:val="Heading 41"/>
    <w:basedOn w:val="Parasts"/>
    <w:next w:val="Parasts"/>
    <w:uiPriority w:val="9"/>
    <w:unhideWhenUsed/>
    <w:qFormat/>
    <w:rsid w:val="00CE5D70"/>
    <w:pPr>
      <w:keepNext/>
      <w:keepLines/>
      <w:spacing w:before="200" w:after="0"/>
      <w:ind w:left="2520" w:hanging="360"/>
      <w:outlineLvl w:val="3"/>
    </w:pPr>
    <w:rPr>
      <w:rFonts w:ascii="Cambria" w:eastAsia="PMingLiU" w:hAnsi="Cambria" w:cs="Times New Roman"/>
      <w:b/>
      <w:bCs/>
      <w:i/>
      <w:iCs/>
      <w:color w:val="4F81BD"/>
      <w:lang w:val="en-US" w:eastAsia="en-US"/>
    </w:rPr>
  </w:style>
  <w:style w:type="paragraph" w:customStyle="1" w:styleId="Heading51">
    <w:name w:val="Heading 51"/>
    <w:basedOn w:val="Parasts"/>
    <w:next w:val="Parasts"/>
    <w:uiPriority w:val="9"/>
    <w:semiHidden/>
    <w:unhideWhenUsed/>
    <w:qFormat/>
    <w:rsid w:val="00CE5D70"/>
    <w:pPr>
      <w:keepNext/>
      <w:keepLines/>
      <w:spacing w:before="40" w:after="0"/>
      <w:ind w:left="3240" w:hanging="360"/>
      <w:outlineLvl w:val="4"/>
    </w:pPr>
    <w:rPr>
      <w:rFonts w:ascii="Cambria" w:eastAsia="PMingLiU" w:hAnsi="Cambria" w:cs="Times New Roman"/>
      <w:color w:val="365F91"/>
      <w:lang w:val="en-US" w:eastAsia="en-US"/>
    </w:rPr>
  </w:style>
  <w:style w:type="paragraph" w:customStyle="1" w:styleId="Heading61">
    <w:name w:val="Heading 61"/>
    <w:basedOn w:val="Parasts"/>
    <w:next w:val="Parasts"/>
    <w:uiPriority w:val="9"/>
    <w:semiHidden/>
    <w:unhideWhenUsed/>
    <w:qFormat/>
    <w:rsid w:val="00CE5D70"/>
    <w:pPr>
      <w:keepNext/>
      <w:keepLines/>
      <w:spacing w:before="40" w:after="0"/>
      <w:ind w:left="3960" w:hanging="180"/>
      <w:outlineLvl w:val="5"/>
    </w:pPr>
    <w:rPr>
      <w:rFonts w:ascii="Cambria" w:eastAsia="PMingLiU" w:hAnsi="Cambria" w:cs="Times New Roman"/>
      <w:color w:val="243F60"/>
      <w:lang w:val="en-US" w:eastAsia="en-US"/>
    </w:rPr>
  </w:style>
  <w:style w:type="paragraph" w:customStyle="1" w:styleId="Heading71">
    <w:name w:val="Heading 71"/>
    <w:basedOn w:val="Parasts"/>
    <w:next w:val="Parasts"/>
    <w:uiPriority w:val="9"/>
    <w:semiHidden/>
    <w:unhideWhenUsed/>
    <w:qFormat/>
    <w:rsid w:val="00CE5D70"/>
    <w:pPr>
      <w:keepNext/>
      <w:keepLines/>
      <w:spacing w:before="40" w:after="0"/>
      <w:ind w:left="4680" w:hanging="360"/>
      <w:outlineLvl w:val="6"/>
    </w:pPr>
    <w:rPr>
      <w:rFonts w:ascii="Cambria" w:eastAsia="PMingLiU" w:hAnsi="Cambria" w:cs="Times New Roman"/>
      <w:i/>
      <w:iCs/>
      <w:color w:val="243F60"/>
      <w:lang w:val="en-US" w:eastAsia="en-US"/>
    </w:rPr>
  </w:style>
  <w:style w:type="paragraph" w:customStyle="1" w:styleId="Heading81">
    <w:name w:val="Heading 81"/>
    <w:basedOn w:val="Parasts"/>
    <w:next w:val="Parasts"/>
    <w:uiPriority w:val="9"/>
    <w:semiHidden/>
    <w:unhideWhenUsed/>
    <w:qFormat/>
    <w:rsid w:val="00CE5D70"/>
    <w:pPr>
      <w:keepNext/>
      <w:keepLines/>
      <w:spacing w:before="40" w:after="0"/>
      <w:ind w:left="5400" w:hanging="360"/>
      <w:outlineLvl w:val="7"/>
    </w:pPr>
    <w:rPr>
      <w:rFonts w:ascii="Cambria" w:eastAsia="PMingLiU" w:hAnsi="Cambria" w:cs="Times New Roman"/>
      <w:color w:val="272727"/>
      <w:sz w:val="21"/>
      <w:szCs w:val="21"/>
      <w:lang w:val="en-US" w:eastAsia="en-US"/>
    </w:rPr>
  </w:style>
  <w:style w:type="paragraph" w:customStyle="1" w:styleId="Heading91">
    <w:name w:val="Heading 91"/>
    <w:basedOn w:val="Parasts"/>
    <w:next w:val="Parasts"/>
    <w:uiPriority w:val="9"/>
    <w:semiHidden/>
    <w:unhideWhenUsed/>
    <w:qFormat/>
    <w:rsid w:val="00CE5D70"/>
    <w:pPr>
      <w:keepNext/>
      <w:keepLines/>
      <w:spacing w:before="40" w:after="0"/>
      <w:ind w:left="6120" w:hanging="180"/>
      <w:outlineLvl w:val="8"/>
    </w:pPr>
    <w:rPr>
      <w:rFonts w:ascii="Cambria" w:eastAsia="PMingLiU" w:hAnsi="Cambria" w:cs="Times New Roman"/>
      <w:i/>
      <w:iCs/>
      <w:color w:val="272727"/>
      <w:sz w:val="21"/>
      <w:szCs w:val="21"/>
      <w:lang w:val="en-US" w:eastAsia="en-US"/>
    </w:rPr>
  </w:style>
  <w:style w:type="table" w:customStyle="1" w:styleId="TableGrid1">
    <w:name w:val="Table Grid1"/>
    <w:basedOn w:val="Parastatabula"/>
    <w:next w:val="Reatabula"/>
    <w:uiPriority w:val="59"/>
    <w:rsid w:val="00CE5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basedOn w:val="Noklusjumarindkopasfonts"/>
    <w:uiPriority w:val="99"/>
    <w:rsid w:val="00CE5D70"/>
    <w:rPr>
      <w:sz w:val="20"/>
      <w:szCs w:val="20"/>
    </w:rPr>
  </w:style>
  <w:style w:type="table" w:customStyle="1" w:styleId="TableGrid11">
    <w:name w:val="Table Grid11"/>
    <w:basedOn w:val="Parastatabula"/>
    <w:next w:val="Reatabula"/>
    <w:rsid w:val="00CE5D70"/>
    <w:pPr>
      <w:spacing w:after="0" w:line="240" w:lineRule="auto"/>
    </w:pPr>
    <w:rPr>
      <w:rFonts w:eastAsia="PMingLiU"/>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CE5D70"/>
    <w:rPr>
      <w:b/>
      <w:bCs/>
      <w:i w:val="0"/>
      <w:iCs w:val="0"/>
    </w:rPr>
  </w:style>
  <w:style w:type="character" w:customStyle="1" w:styleId="st1">
    <w:name w:val="st1"/>
    <w:basedOn w:val="Noklusjumarindkopasfonts"/>
    <w:rsid w:val="00CE5D70"/>
  </w:style>
  <w:style w:type="character" w:customStyle="1" w:styleId="Virsraksts4Rakstz">
    <w:name w:val="Virsraksts 4 Rakstz."/>
    <w:basedOn w:val="Noklusjumarindkopasfonts"/>
    <w:link w:val="Virsraksts4"/>
    <w:uiPriority w:val="9"/>
    <w:semiHidden/>
    <w:rsid w:val="00CE5D70"/>
    <w:rPr>
      <w:rFonts w:asciiTheme="majorHAnsi" w:eastAsiaTheme="majorEastAsia" w:hAnsiTheme="majorHAnsi" w:cstheme="majorBidi"/>
      <w:i/>
      <w:iCs/>
      <w:color w:val="365F91" w:themeColor="accent1" w:themeShade="BF"/>
      <w:lang w:val="en-GB" w:eastAsia="en-GB"/>
    </w:rPr>
  </w:style>
  <w:style w:type="character" w:customStyle="1" w:styleId="Virsraksts5Rakstz">
    <w:name w:val="Virsraksts 5 Rakstz."/>
    <w:basedOn w:val="Noklusjumarindkopasfonts"/>
    <w:link w:val="Virsraksts5"/>
    <w:uiPriority w:val="9"/>
    <w:semiHidden/>
    <w:rsid w:val="00CE5D70"/>
    <w:rPr>
      <w:rFonts w:asciiTheme="majorHAnsi" w:eastAsiaTheme="majorEastAsia" w:hAnsiTheme="majorHAnsi" w:cstheme="majorBidi"/>
      <w:color w:val="365F91" w:themeColor="accent1" w:themeShade="BF"/>
      <w:lang w:val="en-GB" w:eastAsia="en-GB"/>
    </w:rPr>
  </w:style>
  <w:style w:type="character" w:customStyle="1" w:styleId="Virsraksts6Rakstz">
    <w:name w:val="Virsraksts 6 Rakstz."/>
    <w:basedOn w:val="Noklusjumarindkopasfonts"/>
    <w:link w:val="Virsraksts6"/>
    <w:uiPriority w:val="9"/>
    <w:semiHidden/>
    <w:rsid w:val="00CE5D70"/>
    <w:rPr>
      <w:rFonts w:asciiTheme="majorHAnsi" w:eastAsiaTheme="majorEastAsia" w:hAnsiTheme="majorHAnsi" w:cstheme="majorBidi"/>
      <w:color w:val="243F60" w:themeColor="accent1" w:themeShade="7F"/>
      <w:lang w:val="en-GB" w:eastAsia="en-GB"/>
    </w:rPr>
  </w:style>
  <w:style w:type="character" w:customStyle="1" w:styleId="Virsraksts7Rakstz">
    <w:name w:val="Virsraksts 7 Rakstz."/>
    <w:basedOn w:val="Noklusjumarindkopasfonts"/>
    <w:link w:val="Virsraksts7"/>
    <w:uiPriority w:val="9"/>
    <w:semiHidden/>
    <w:rsid w:val="00CE5D70"/>
    <w:rPr>
      <w:rFonts w:asciiTheme="majorHAnsi" w:eastAsiaTheme="majorEastAsia" w:hAnsiTheme="majorHAnsi" w:cstheme="majorBidi"/>
      <w:i/>
      <w:iCs/>
      <w:color w:val="243F60" w:themeColor="accent1" w:themeShade="7F"/>
      <w:lang w:val="en-GB" w:eastAsia="en-GB"/>
    </w:rPr>
  </w:style>
  <w:style w:type="character" w:customStyle="1" w:styleId="Virsraksts8Rakstz">
    <w:name w:val="Virsraksts 8 Rakstz."/>
    <w:basedOn w:val="Noklusjumarindkopasfonts"/>
    <w:link w:val="Virsraksts8"/>
    <w:uiPriority w:val="9"/>
    <w:semiHidden/>
    <w:rsid w:val="00CE5D70"/>
    <w:rPr>
      <w:rFonts w:asciiTheme="majorHAnsi" w:eastAsiaTheme="majorEastAsia" w:hAnsiTheme="majorHAnsi" w:cstheme="majorBidi"/>
      <w:color w:val="272727" w:themeColor="text1" w:themeTint="D8"/>
      <w:sz w:val="21"/>
      <w:szCs w:val="21"/>
      <w:lang w:val="en-GB" w:eastAsia="en-GB"/>
    </w:rPr>
  </w:style>
  <w:style w:type="character" w:customStyle="1" w:styleId="Virsraksts9Rakstz">
    <w:name w:val="Virsraksts 9 Rakstz."/>
    <w:basedOn w:val="Noklusjumarindkopasfonts"/>
    <w:link w:val="Virsraksts9"/>
    <w:uiPriority w:val="9"/>
    <w:semiHidden/>
    <w:rsid w:val="00CE5D70"/>
    <w:rPr>
      <w:rFonts w:asciiTheme="majorHAnsi" w:eastAsiaTheme="majorEastAsia" w:hAnsiTheme="majorHAnsi" w:cstheme="majorBidi"/>
      <w:i/>
      <w:iCs/>
      <w:color w:val="272727" w:themeColor="text1" w:themeTint="D8"/>
      <w:sz w:val="21"/>
      <w:szCs w:val="21"/>
      <w:lang w:val="en-GB" w:eastAsia="en-GB"/>
    </w:rPr>
  </w:style>
  <w:style w:type="table" w:customStyle="1" w:styleId="TableGrid2">
    <w:name w:val="Table Grid2"/>
    <w:basedOn w:val="Parastatabula"/>
    <w:next w:val="Reatabula"/>
    <w:uiPriority w:val="39"/>
    <w:rsid w:val="00AC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iPriority w:val="99"/>
    <w:unhideWhenUsed/>
    <w:rsid w:val="000757EA"/>
    <w:pPr>
      <w:spacing w:after="120"/>
    </w:pPr>
  </w:style>
  <w:style w:type="character" w:customStyle="1" w:styleId="PamattekstsRakstz">
    <w:name w:val="Pamatteksts Rakstz."/>
    <w:basedOn w:val="Noklusjumarindkopasfonts"/>
    <w:link w:val="Pamatteksts"/>
    <w:uiPriority w:val="99"/>
    <w:rsid w:val="000757EA"/>
    <w:rPr>
      <w:rFonts w:eastAsiaTheme="minorEastAsia"/>
      <w:lang w:val="en-GB" w:eastAsia="en-GB"/>
    </w:rPr>
  </w:style>
  <w:style w:type="table" w:customStyle="1" w:styleId="TableGrid3">
    <w:name w:val="Table Grid3"/>
    <w:basedOn w:val="Parastatabula"/>
    <w:next w:val="Reatabula"/>
    <w:uiPriority w:val="39"/>
    <w:rsid w:val="008955BA"/>
    <w:pPr>
      <w:spacing w:after="0" w:line="240" w:lineRule="auto"/>
    </w:pPr>
    <w:rPr>
      <w:rFonts w:eastAsia="PMingLiU"/>
      <w:lang w:val="nb-NO"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39"/>
    <w:rsid w:val="00116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909B4"/>
    <w:rPr>
      <w:rFonts w:eastAsiaTheme="minorEastAsia"/>
      <w:lang w:val="en-GB" w:eastAsia="en-GB"/>
    </w:rPr>
  </w:style>
  <w:style w:type="paragraph" w:styleId="Virsraksts1">
    <w:name w:val="heading 1"/>
    <w:basedOn w:val="Parasts"/>
    <w:next w:val="Parasts"/>
    <w:link w:val="Virsraksts1Rakstz"/>
    <w:uiPriority w:val="9"/>
    <w:qFormat/>
    <w:rsid w:val="0088087B"/>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88087B"/>
    <w:pPr>
      <w:keepNext/>
      <w:keepLines/>
      <w:numPr>
        <w:ilvl w:val="1"/>
        <w:numId w:val="17"/>
      </w:numPr>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88087B"/>
    <w:pPr>
      <w:keepNext/>
      <w:keepLines/>
      <w:numPr>
        <w:ilvl w:val="2"/>
        <w:numId w:val="17"/>
      </w:numPr>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CE5D70"/>
    <w:pPr>
      <w:keepNext/>
      <w:keepLines/>
      <w:numPr>
        <w:ilvl w:val="3"/>
        <w:numId w:val="17"/>
      </w:numPr>
      <w:spacing w:before="40" w:after="0"/>
      <w:outlineLvl w:val="3"/>
    </w:pPr>
    <w:rPr>
      <w:rFonts w:asciiTheme="majorHAnsi" w:eastAsiaTheme="majorEastAsia" w:hAnsiTheme="majorHAnsi" w:cstheme="majorBidi"/>
      <w:i/>
      <w:iCs/>
      <w:color w:val="365F91" w:themeColor="accent1" w:themeShade="BF"/>
    </w:rPr>
  </w:style>
  <w:style w:type="paragraph" w:styleId="Virsraksts5">
    <w:name w:val="heading 5"/>
    <w:basedOn w:val="Parasts"/>
    <w:next w:val="Parasts"/>
    <w:link w:val="Virsraksts5Rakstz"/>
    <w:uiPriority w:val="9"/>
    <w:semiHidden/>
    <w:unhideWhenUsed/>
    <w:qFormat/>
    <w:rsid w:val="00CE5D70"/>
    <w:pPr>
      <w:keepNext/>
      <w:keepLines/>
      <w:numPr>
        <w:ilvl w:val="4"/>
        <w:numId w:val="17"/>
      </w:numPr>
      <w:spacing w:before="40" w:after="0"/>
      <w:outlineLvl w:val="4"/>
    </w:pPr>
    <w:rPr>
      <w:rFonts w:asciiTheme="majorHAnsi" w:eastAsiaTheme="majorEastAsia" w:hAnsiTheme="majorHAnsi" w:cstheme="majorBidi"/>
      <w:color w:val="365F91" w:themeColor="accent1" w:themeShade="BF"/>
    </w:rPr>
  </w:style>
  <w:style w:type="paragraph" w:styleId="Virsraksts6">
    <w:name w:val="heading 6"/>
    <w:basedOn w:val="Parasts"/>
    <w:next w:val="Parasts"/>
    <w:link w:val="Virsraksts6Rakstz"/>
    <w:uiPriority w:val="9"/>
    <w:semiHidden/>
    <w:unhideWhenUsed/>
    <w:qFormat/>
    <w:rsid w:val="00CE5D70"/>
    <w:pPr>
      <w:keepNext/>
      <w:keepLines/>
      <w:numPr>
        <w:ilvl w:val="5"/>
        <w:numId w:val="17"/>
      </w:numPr>
      <w:spacing w:before="40" w:after="0"/>
      <w:outlineLvl w:val="5"/>
    </w:pPr>
    <w:rPr>
      <w:rFonts w:asciiTheme="majorHAnsi" w:eastAsiaTheme="majorEastAsia" w:hAnsiTheme="majorHAnsi" w:cstheme="majorBidi"/>
      <w:color w:val="243F60" w:themeColor="accent1" w:themeShade="7F"/>
    </w:rPr>
  </w:style>
  <w:style w:type="paragraph" w:styleId="Virsraksts7">
    <w:name w:val="heading 7"/>
    <w:basedOn w:val="Parasts"/>
    <w:next w:val="Parasts"/>
    <w:link w:val="Virsraksts7Rakstz"/>
    <w:uiPriority w:val="9"/>
    <w:semiHidden/>
    <w:unhideWhenUsed/>
    <w:qFormat/>
    <w:rsid w:val="00CE5D70"/>
    <w:pPr>
      <w:keepNext/>
      <w:keepLines/>
      <w:numPr>
        <w:ilvl w:val="6"/>
        <w:numId w:val="17"/>
      </w:numPr>
      <w:spacing w:before="40" w:after="0"/>
      <w:outlineLvl w:val="6"/>
    </w:pPr>
    <w:rPr>
      <w:rFonts w:asciiTheme="majorHAnsi" w:eastAsiaTheme="majorEastAsia" w:hAnsiTheme="majorHAnsi" w:cstheme="majorBidi"/>
      <w:i/>
      <w:iCs/>
      <w:color w:val="243F60" w:themeColor="accent1" w:themeShade="7F"/>
    </w:rPr>
  </w:style>
  <w:style w:type="paragraph" w:styleId="Virsraksts8">
    <w:name w:val="heading 8"/>
    <w:basedOn w:val="Parasts"/>
    <w:next w:val="Parasts"/>
    <w:link w:val="Virsraksts8Rakstz"/>
    <w:uiPriority w:val="9"/>
    <w:semiHidden/>
    <w:unhideWhenUsed/>
    <w:qFormat/>
    <w:rsid w:val="00CE5D70"/>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CE5D70"/>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BF6DFA"/>
    <w:pPr>
      <w:ind w:left="720"/>
      <w:contextualSpacing/>
    </w:pPr>
  </w:style>
  <w:style w:type="table" w:styleId="Reatabula">
    <w:name w:val="Table Grid"/>
    <w:basedOn w:val="Parastatabula"/>
    <w:uiPriority w:val="59"/>
    <w:rsid w:val="00BF6DFA"/>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nhideWhenUsed/>
    <w:rsid w:val="00BF2322"/>
    <w:pPr>
      <w:tabs>
        <w:tab w:val="center" w:pos="4703"/>
        <w:tab w:val="right" w:pos="9406"/>
      </w:tabs>
      <w:spacing w:after="0" w:line="240" w:lineRule="auto"/>
    </w:pPr>
  </w:style>
  <w:style w:type="character" w:customStyle="1" w:styleId="GalveneRakstz">
    <w:name w:val="Galvene Rakstz."/>
    <w:basedOn w:val="Noklusjumarindkopasfonts"/>
    <w:link w:val="Galvene"/>
    <w:rsid w:val="00BF2322"/>
    <w:rPr>
      <w:rFonts w:eastAsiaTheme="minorEastAsia"/>
      <w:lang w:val="en-GB" w:eastAsia="en-GB"/>
    </w:rPr>
  </w:style>
  <w:style w:type="paragraph" w:styleId="Kjene">
    <w:name w:val="footer"/>
    <w:basedOn w:val="Parasts"/>
    <w:link w:val="KjeneRakstz"/>
    <w:unhideWhenUsed/>
    <w:rsid w:val="00BF2322"/>
    <w:pPr>
      <w:tabs>
        <w:tab w:val="center" w:pos="4703"/>
        <w:tab w:val="right" w:pos="9406"/>
      </w:tabs>
      <w:spacing w:after="0" w:line="240" w:lineRule="auto"/>
    </w:pPr>
  </w:style>
  <w:style w:type="character" w:customStyle="1" w:styleId="KjeneRakstz">
    <w:name w:val="Kājene Rakstz."/>
    <w:basedOn w:val="Noklusjumarindkopasfonts"/>
    <w:link w:val="Kjene"/>
    <w:rsid w:val="00BF2322"/>
    <w:rPr>
      <w:rFonts w:eastAsiaTheme="minorEastAsia"/>
      <w:lang w:val="en-GB" w:eastAsia="en-GB"/>
    </w:rPr>
  </w:style>
  <w:style w:type="paragraph" w:styleId="Bezatstarpm">
    <w:name w:val="No Spacing"/>
    <w:link w:val="BezatstarpmRakstz"/>
    <w:uiPriority w:val="1"/>
    <w:qFormat/>
    <w:rsid w:val="00023599"/>
    <w:pPr>
      <w:spacing w:after="0" w:line="240" w:lineRule="auto"/>
    </w:pPr>
    <w:rPr>
      <w:rFonts w:ascii="Calibri" w:eastAsia="Times New Roman" w:hAnsi="Calibri" w:cs="Times New Roman"/>
    </w:rPr>
  </w:style>
  <w:style w:type="character" w:customStyle="1" w:styleId="BezatstarpmRakstz">
    <w:name w:val="Bez atstarpēm Rakstz."/>
    <w:basedOn w:val="Noklusjumarindkopasfonts"/>
    <w:link w:val="Bezatstarpm"/>
    <w:uiPriority w:val="1"/>
    <w:rsid w:val="00023599"/>
    <w:rPr>
      <w:rFonts w:ascii="Calibri" w:eastAsia="Times New Roman" w:hAnsi="Calibri" w:cs="Times New Roman"/>
    </w:rPr>
  </w:style>
  <w:style w:type="paragraph" w:styleId="Balonteksts">
    <w:name w:val="Balloon Text"/>
    <w:basedOn w:val="Parasts"/>
    <w:link w:val="BalontekstsRakstz"/>
    <w:semiHidden/>
    <w:unhideWhenUsed/>
    <w:rsid w:val="00023599"/>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23599"/>
    <w:rPr>
      <w:rFonts w:ascii="Tahoma" w:eastAsiaTheme="minorEastAsia" w:hAnsi="Tahoma" w:cs="Tahoma"/>
      <w:sz w:val="16"/>
      <w:szCs w:val="16"/>
      <w:lang w:val="en-GB" w:eastAsia="en-GB"/>
    </w:rPr>
  </w:style>
  <w:style w:type="character" w:customStyle="1" w:styleId="Virsraksts1Rakstz">
    <w:name w:val="Virsraksts 1 Rakstz."/>
    <w:basedOn w:val="Noklusjumarindkopasfonts"/>
    <w:link w:val="Virsraksts1"/>
    <w:uiPriority w:val="9"/>
    <w:rsid w:val="0088087B"/>
    <w:rPr>
      <w:rFonts w:asciiTheme="majorHAnsi" w:eastAsiaTheme="majorEastAsia" w:hAnsiTheme="majorHAnsi" w:cstheme="majorBidi"/>
      <w:b/>
      <w:bCs/>
      <w:color w:val="365F91" w:themeColor="accent1" w:themeShade="BF"/>
      <w:sz w:val="28"/>
      <w:szCs w:val="28"/>
      <w:lang w:val="en-GB" w:eastAsia="en-GB"/>
    </w:rPr>
  </w:style>
  <w:style w:type="character" w:customStyle="1" w:styleId="Virsraksts2Rakstz">
    <w:name w:val="Virsraksts 2 Rakstz."/>
    <w:basedOn w:val="Noklusjumarindkopasfonts"/>
    <w:link w:val="Virsraksts2"/>
    <w:uiPriority w:val="9"/>
    <w:rsid w:val="0088087B"/>
    <w:rPr>
      <w:rFonts w:asciiTheme="majorHAnsi" w:eastAsiaTheme="majorEastAsia" w:hAnsiTheme="majorHAnsi" w:cstheme="majorBidi"/>
      <w:b/>
      <w:bCs/>
      <w:color w:val="4F81BD" w:themeColor="accent1"/>
      <w:sz w:val="26"/>
      <w:szCs w:val="26"/>
      <w:lang w:val="en-GB" w:eastAsia="en-GB"/>
    </w:rPr>
  </w:style>
  <w:style w:type="character" w:customStyle="1" w:styleId="Virsraksts3Rakstz">
    <w:name w:val="Virsraksts 3 Rakstz."/>
    <w:basedOn w:val="Noklusjumarindkopasfonts"/>
    <w:link w:val="Virsraksts3"/>
    <w:uiPriority w:val="9"/>
    <w:rsid w:val="0088087B"/>
    <w:rPr>
      <w:rFonts w:asciiTheme="majorHAnsi" w:eastAsiaTheme="majorEastAsia" w:hAnsiTheme="majorHAnsi" w:cstheme="majorBidi"/>
      <w:b/>
      <w:bCs/>
      <w:color w:val="4F81BD" w:themeColor="accent1"/>
      <w:lang w:val="en-GB" w:eastAsia="en-GB"/>
    </w:rPr>
  </w:style>
  <w:style w:type="paragraph" w:styleId="Vresteksts">
    <w:name w:val="footnote text"/>
    <w:basedOn w:val="Parasts"/>
    <w:link w:val="VrestekstsRakstz"/>
    <w:uiPriority w:val="99"/>
    <w:unhideWhenUsed/>
    <w:rsid w:val="00EF0AE1"/>
    <w:pPr>
      <w:spacing w:after="0" w:line="240" w:lineRule="auto"/>
    </w:pPr>
    <w:rPr>
      <w:rFonts w:eastAsiaTheme="minorHAnsi"/>
      <w:sz w:val="20"/>
      <w:szCs w:val="20"/>
      <w:lang w:val="en-US" w:eastAsia="en-US"/>
    </w:rPr>
  </w:style>
  <w:style w:type="character" w:customStyle="1" w:styleId="VrestekstsRakstz">
    <w:name w:val="Vēres teksts Rakstz."/>
    <w:basedOn w:val="Noklusjumarindkopasfonts"/>
    <w:link w:val="Vresteksts"/>
    <w:uiPriority w:val="99"/>
    <w:rsid w:val="00EF0AE1"/>
    <w:rPr>
      <w:sz w:val="20"/>
      <w:szCs w:val="20"/>
    </w:rPr>
  </w:style>
  <w:style w:type="character" w:styleId="Vresatsauce">
    <w:name w:val="footnote reference"/>
    <w:basedOn w:val="Noklusjumarindkopasfonts"/>
    <w:uiPriority w:val="99"/>
    <w:unhideWhenUsed/>
    <w:rsid w:val="00EF0AE1"/>
    <w:rPr>
      <w:vertAlign w:val="superscript"/>
    </w:rPr>
  </w:style>
  <w:style w:type="character" w:customStyle="1" w:styleId="hps">
    <w:name w:val="hps"/>
    <w:basedOn w:val="Noklusjumarindkopasfonts"/>
    <w:rsid w:val="00503155"/>
  </w:style>
  <w:style w:type="paragraph" w:styleId="Saturardtjavirsraksts">
    <w:name w:val="TOC Heading"/>
    <w:basedOn w:val="Virsraksts1"/>
    <w:next w:val="Parasts"/>
    <w:uiPriority w:val="39"/>
    <w:unhideWhenUsed/>
    <w:qFormat/>
    <w:rsid w:val="008768DF"/>
    <w:pPr>
      <w:outlineLvl w:val="9"/>
    </w:pPr>
    <w:rPr>
      <w:lang w:val="en-US" w:eastAsia="en-US"/>
    </w:rPr>
  </w:style>
  <w:style w:type="paragraph" w:styleId="Saturs1">
    <w:name w:val="toc 1"/>
    <w:basedOn w:val="Parasts"/>
    <w:next w:val="Parasts"/>
    <w:autoRedefine/>
    <w:uiPriority w:val="39"/>
    <w:unhideWhenUsed/>
    <w:rsid w:val="008768DF"/>
    <w:pPr>
      <w:spacing w:after="100"/>
    </w:pPr>
  </w:style>
  <w:style w:type="paragraph" w:styleId="Saturs2">
    <w:name w:val="toc 2"/>
    <w:basedOn w:val="Parasts"/>
    <w:next w:val="Parasts"/>
    <w:autoRedefine/>
    <w:uiPriority w:val="39"/>
    <w:unhideWhenUsed/>
    <w:rsid w:val="008768DF"/>
    <w:pPr>
      <w:spacing w:after="100"/>
      <w:ind w:left="220"/>
    </w:pPr>
  </w:style>
  <w:style w:type="paragraph" w:styleId="Saturs3">
    <w:name w:val="toc 3"/>
    <w:basedOn w:val="Parasts"/>
    <w:next w:val="Parasts"/>
    <w:autoRedefine/>
    <w:uiPriority w:val="39"/>
    <w:unhideWhenUsed/>
    <w:rsid w:val="008768DF"/>
    <w:pPr>
      <w:spacing w:after="100"/>
      <w:ind w:left="440"/>
    </w:pPr>
  </w:style>
  <w:style w:type="character" w:styleId="Hipersaite">
    <w:name w:val="Hyperlink"/>
    <w:basedOn w:val="Noklusjumarindkopasfonts"/>
    <w:uiPriority w:val="99"/>
    <w:unhideWhenUsed/>
    <w:rsid w:val="008768DF"/>
    <w:rPr>
      <w:color w:val="0000FF" w:themeColor="hyperlink"/>
      <w:u w:val="single"/>
    </w:rPr>
  </w:style>
  <w:style w:type="paragraph" w:styleId="Vienkrsteksts">
    <w:name w:val="Plain Text"/>
    <w:basedOn w:val="Parasts"/>
    <w:link w:val="VienkrstekstsRakstz"/>
    <w:uiPriority w:val="99"/>
    <w:unhideWhenUsed/>
    <w:rsid w:val="00E73574"/>
    <w:pPr>
      <w:spacing w:after="0" w:line="240" w:lineRule="auto"/>
    </w:pPr>
    <w:rPr>
      <w:rFonts w:ascii="Consolas" w:eastAsiaTheme="minorHAnsi" w:hAnsi="Consolas"/>
      <w:sz w:val="21"/>
      <w:szCs w:val="21"/>
      <w:lang w:val="en-US" w:eastAsia="en-US"/>
    </w:rPr>
  </w:style>
  <w:style w:type="character" w:customStyle="1" w:styleId="VienkrstekstsRakstz">
    <w:name w:val="Vienkāršs teksts Rakstz."/>
    <w:basedOn w:val="Noklusjumarindkopasfonts"/>
    <w:link w:val="Vienkrsteksts"/>
    <w:uiPriority w:val="99"/>
    <w:rsid w:val="00E73574"/>
    <w:rPr>
      <w:rFonts w:ascii="Consolas" w:hAnsi="Consolas"/>
      <w:sz w:val="21"/>
      <w:szCs w:val="21"/>
    </w:rPr>
  </w:style>
  <w:style w:type="character" w:styleId="Komentraatsauce">
    <w:name w:val="annotation reference"/>
    <w:basedOn w:val="Noklusjumarindkopasfonts"/>
    <w:uiPriority w:val="99"/>
    <w:semiHidden/>
    <w:unhideWhenUsed/>
    <w:rsid w:val="00970892"/>
    <w:rPr>
      <w:sz w:val="16"/>
      <w:szCs w:val="16"/>
    </w:rPr>
  </w:style>
  <w:style w:type="paragraph" w:styleId="Komentrateksts">
    <w:name w:val="annotation text"/>
    <w:basedOn w:val="Parasts"/>
    <w:link w:val="KomentratekstsRakstz"/>
    <w:uiPriority w:val="99"/>
    <w:unhideWhenUsed/>
    <w:rsid w:val="00970892"/>
    <w:pPr>
      <w:spacing w:line="240" w:lineRule="auto"/>
    </w:pPr>
    <w:rPr>
      <w:sz w:val="20"/>
      <w:szCs w:val="20"/>
    </w:rPr>
  </w:style>
  <w:style w:type="character" w:customStyle="1" w:styleId="KomentratekstsRakstz">
    <w:name w:val="Komentāra teksts Rakstz."/>
    <w:basedOn w:val="Noklusjumarindkopasfonts"/>
    <w:link w:val="Komentrateksts"/>
    <w:uiPriority w:val="99"/>
    <w:rsid w:val="00970892"/>
    <w:rPr>
      <w:rFonts w:eastAsiaTheme="minorEastAsia"/>
      <w:sz w:val="20"/>
      <w:szCs w:val="20"/>
      <w:lang w:val="en-GB" w:eastAsia="en-GB"/>
    </w:rPr>
  </w:style>
  <w:style w:type="paragraph" w:styleId="Komentratma">
    <w:name w:val="annotation subject"/>
    <w:basedOn w:val="Komentrateksts"/>
    <w:next w:val="Komentrateksts"/>
    <w:link w:val="KomentratmaRakstz"/>
    <w:uiPriority w:val="99"/>
    <w:semiHidden/>
    <w:unhideWhenUsed/>
    <w:rsid w:val="00970892"/>
    <w:rPr>
      <w:b/>
      <w:bCs/>
    </w:rPr>
  </w:style>
  <w:style w:type="character" w:customStyle="1" w:styleId="KomentratmaRakstz">
    <w:name w:val="Komentāra tēma Rakstz."/>
    <w:basedOn w:val="KomentratekstsRakstz"/>
    <w:link w:val="Komentratma"/>
    <w:uiPriority w:val="99"/>
    <w:semiHidden/>
    <w:rsid w:val="00970892"/>
    <w:rPr>
      <w:rFonts w:eastAsiaTheme="minorEastAsia"/>
      <w:b/>
      <w:bCs/>
      <w:sz w:val="20"/>
      <w:szCs w:val="20"/>
      <w:lang w:val="en-GB" w:eastAsia="en-GB"/>
    </w:rPr>
  </w:style>
  <w:style w:type="paragraph" w:customStyle="1" w:styleId="Default">
    <w:name w:val="Default"/>
    <w:rsid w:val="00237ADC"/>
    <w:pPr>
      <w:autoSpaceDE w:val="0"/>
      <w:autoSpaceDN w:val="0"/>
      <w:adjustRightInd w:val="0"/>
      <w:spacing w:after="0" w:line="240" w:lineRule="auto"/>
    </w:pPr>
    <w:rPr>
      <w:rFonts w:ascii="Times New Roman" w:hAnsi="Times New Roman" w:cs="Times New Roman"/>
      <w:color w:val="000000"/>
      <w:sz w:val="24"/>
      <w:szCs w:val="24"/>
    </w:rPr>
  </w:style>
  <w:style w:type="paragraph" w:styleId="Prskatjums">
    <w:name w:val="Revision"/>
    <w:hidden/>
    <w:uiPriority w:val="99"/>
    <w:semiHidden/>
    <w:rsid w:val="00457EED"/>
    <w:pPr>
      <w:spacing w:after="0" w:line="240" w:lineRule="auto"/>
    </w:pPr>
    <w:rPr>
      <w:rFonts w:eastAsiaTheme="minorEastAsia"/>
      <w:lang w:val="en-GB" w:eastAsia="en-GB"/>
    </w:rPr>
  </w:style>
  <w:style w:type="paragraph" w:styleId="Dokumentakarte">
    <w:name w:val="Document Map"/>
    <w:basedOn w:val="Parasts"/>
    <w:link w:val="DokumentakarteRakstz"/>
    <w:uiPriority w:val="99"/>
    <w:semiHidden/>
    <w:unhideWhenUsed/>
    <w:rsid w:val="00414021"/>
    <w:pPr>
      <w:spacing w:after="0" w:line="240" w:lineRule="auto"/>
    </w:pPr>
    <w:rPr>
      <w:rFonts w:ascii="Tahoma" w:hAnsi="Tahoma" w:cs="Tahoma"/>
      <w:sz w:val="16"/>
      <w:szCs w:val="16"/>
    </w:rPr>
  </w:style>
  <w:style w:type="character" w:customStyle="1" w:styleId="DokumentakarteRakstz">
    <w:name w:val="Dokumenta karte Rakstz."/>
    <w:basedOn w:val="Noklusjumarindkopasfonts"/>
    <w:link w:val="Dokumentakarte"/>
    <w:uiPriority w:val="99"/>
    <w:semiHidden/>
    <w:rsid w:val="00414021"/>
    <w:rPr>
      <w:rFonts w:ascii="Tahoma" w:eastAsiaTheme="minorEastAsia" w:hAnsi="Tahoma" w:cs="Tahoma"/>
      <w:sz w:val="16"/>
      <w:szCs w:val="16"/>
      <w:lang w:val="en-GB" w:eastAsia="en-GB"/>
    </w:rPr>
  </w:style>
  <w:style w:type="paragraph" w:customStyle="1" w:styleId="Heading41">
    <w:name w:val="Heading 41"/>
    <w:basedOn w:val="Parasts"/>
    <w:next w:val="Parasts"/>
    <w:uiPriority w:val="9"/>
    <w:unhideWhenUsed/>
    <w:qFormat/>
    <w:rsid w:val="00CE5D70"/>
    <w:pPr>
      <w:keepNext/>
      <w:keepLines/>
      <w:spacing w:before="200" w:after="0"/>
      <w:ind w:left="2520" w:hanging="360"/>
      <w:outlineLvl w:val="3"/>
    </w:pPr>
    <w:rPr>
      <w:rFonts w:ascii="Cambria" w:eastAsia="PMingLiU" w:hAnsi="Cambria" w:cs="Times New Roman"/>
      <w:b/>
      <w:bCs/>
      <w:i/>
      <w:iCs/>
      <w:color w:val="4F81BD"/>
      <w:lang w:val="en-US" w:eastAsia="en-US"/>
    </w:rPr>
  </w:style>
  <w:style w:type="paragraph" w:customStyle="1" w:styleId="Heading51">
    <w:name w:val="Heading 51"/>
    <w:basedOn w:val="Parasts"/>
    <w:next w:val="Parasts"/>
    <w:uiPriority w:val="9"/>
    <w:semiHidden/>
    <w:unhideWhenUsed/>
    <w:qFormat/>
    <w:rsid w:val="00CE5D70"/>
    <w:pPr>
      <w:keepNext/>
      <w:keepLines/>
      <w:spacing w:before="40" w:after="0"/>
      <w:ind w:left="3240" w:hanging="360"/>
      <w:outlineLvl w:val="4"/>
    </w:pPr>
    <w:rPr>
      <w:rFonts w:ascii="Cambria" w:eastAsia="PMingLiU" w:hAnsi="Cambria" w:cs="Times New Roman"/>
      <w:color w:val="365F91"/>
      <w:lang w:val="en-US" w:eastAsia="en-US"/>
    </w:rPr>
  </w:style>
  <w:style w:type="paragraph" w:customStyle="1" w:styleId="Heading61">
    <w:name w:val="Heading 61"/>
    <w:basedOn w:val="Parasts"/>
    <w:next w:val="Parasts"/>
    <w:uiPriority w:val="9"/>
    <w:semiHidden/>
    <w:unhideWhenUsed/>
    <w:qFormat/>
    <w:rsid w:val="00CE5D70"/>
    <w:pPr>
      <w:keepNext/>
      <w:keepLines/>
      <w:spacing w:before="40" w:after="0"/>
      <w:ind w:left="3960" w:hanging="180"/>
      <w:outlineLvl w:val="5"/>
    </w:pPr>
    <w:rPr>
      <w:rFonts w:ascii="Cambria" w:eastAsia="PMingLiU" w:hAnsi="Cambria" w:cs="Times New Roman"/>
      <w:color w:val="243F60"/>
      <w:lang w:val="en-US" w:eastAsia="en-US"/>
    </w:rPr>
  </w:style>
  <w:style w:type="paragraph" w:customStyle="1" w:styleId="Heading71">
    <w:name w:val="Heading 71"/>
    <w:basedOn w:val="Parasts"/>
    <w:next w:val="Parasts"/>
    <w:uiPriority w:val="9"/>
    <w:semiHidden/>
    <w:unhideWhenUsed/>
    <w:qFormat/>
    <w:rsid w:val="00CE5D70"/>
    <w:pPr>
      <w:keepNext/>
      <w:keepLines/>
      <w:spacing w:before="40" w:after="0"/>
      <w:ind w:left="4680" w:hanging="360"/>
      <w:outlineLvl w:val="6"/>
    </w:pPr>
    <w:rPr>
      <w:rFonts w:ascii="Cambria" w:eastAsia="PMingLiU" w:hAnsi="Cambria" w:cs="Times New Roman"/>
      <w:i/>
      <w:iCs/>
      <w:color w:val="243F60"/>
      <w:lang w:val="en-US" w:eastAsia="en-US"/>
    </w:rPr>
  </w:style>
  <w:style w:type="paragraph" w:customStyle="1" w:styleId="Heading81">
    <w:name w:val="Heading 81"/>
    <w:basedOn w:val="Parasts"/>
    <w:next w:val="Parasts"/>
    <w:uiPriority w:val="9"/>
    <w:semiHidden/>
    <w:unhideWhenUsed/>
    <w:qFormat/>
    <w:rsid w:val="00CE5D70"/>
    <w:pPr>
      <w:keepNext/>
      <w:keepLines/>
      <w:spacing w:before="40" w:after="0"/>
      <w:ind w:left="5400" w:hanging="360"/>
      <w:outlineLvl w:val="7"/>
    </w:pPr>
    <w:rPr>
      <w:rFonts w:ascii="Cambria" w:eastAsia="PMingLiU" w:hAnsi="Cambria" w:cs="Times New Roman"/>
      <w:color w:val="272727"/>
      <w:sz w:val="21"/>
      <w:szCs w:val="21"/>
      <w:lang w:val="en-US" w:eastAsia="en-US"/>
    </w:rPr>
  </w:style>
  <w:style w:type="paragraph" w:customStyle="1" w:styleId="Heading91">
    <w:name w:val="Heading 91"/>
    <w:basedOn w:val="Parasts"/>
    <w:next w:val="Parasts"/>
    <w:uiPriority w:val="9"/>
    <w:semiHidden/>
    <w:unhideWhenUsed/>
    <w:qFormat/>
    <w:rsid w:val="00CE5D70"/>
    <w:pPr>
      <w:keepNext/>
      <w:keepLines/>
      <w:spacing w:before="40" w:after="0"/>
      <w:ind w:left="6120" w:hanging="180"/>
      <w:outlineLvl w:val="8"/>
    </w:pPr>
    <w:rPr>
      <w:rFonts w:ascii="Cambria" w:eastAsia="PMingLiU" w:hAnsi="Cambria" w:cs="Times New Roman"/>
      <w:i/>
      <w:iCs/>
      <w:color w:val="272727"/>
      <w:sz w:val="21"/>
      <w:szCs w:val="21"/>
      <w:lang w:val="en-US" w:eastAsia="en-US"/>
    </w:rPr>
  </w:style>
  <w:style w:type="table" w:customStyle="1" w:styleId="TableGrid1">
    <w:name w:val="Table Grid1"/>
    <w:basedOn w:val="Parastatabula"/>
    <w:next w:val="Reatabula"/>
    <w:uiPriority w:val="59"/>
    <w:rsid w:val="00CE5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basedOn w:val="Noklusjumarindkopasfonts"/>
    <w:uiPriority w:val="99"/>
    <w:rsid w:val="00CE5D70"/>
    <w:rPr>
      <w:sz w:val="20"/>
      <w:szCs w:val="20"/>
    </w:rPr>
  </w:style>
  <w:style w:type="table" w:customStyle="1" w:styleId="TableGrid11">
    <w:name w:val="Table Grid11"/>
    <w:basedOn w:val="Parastatabula"/>
    <w:next w:val="Reatabula"/>
    <w:rsid w:val="00CE5D70"/>
    <w:pPr>
      <w:spacing w:after="0" w:line="240" w:lineRule="auto"/>
    </w:pPr>
    <w:rPr>
      <w:rFonts w:eastAsia="PMingLiU"/>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CE5D70"/>
    <w:rPr>
      <w:b/>
      <w:bCs/>
      <w:i w:val="0"/>
      <w:iCs w:val="0"/>
    </w:rPr>
  </w:style>
  <w:style w:type="character" w:customStyle="1" w:styleId="st1">
    <w:name w:val="st1"/>
    <w:basedOn w:val="Noklusjumarindkopasfonts"/>
    <w:rsid w:val="00CE5D70"/>
  </w:style>
  <w:style w:type="character" w:customStyle="1" w:styleId="Virsraksts4Rakstz">
    <w:name w:val="Virsraksts 4 Rakstz."/>
    <w:basedOn w:val="Noklusjumarindkopasfonts"/>
    <w:link w:val="Virsraksts4"/>
    <w:uiPriority w:val="9"/>
    <w:semiHidden/>
    <w:rsid w:val="00CE5D70"/>
    <w:rPr>
      <w:rFonts w:asciiTheme="majorHAnsi" w:eastAsiaTheme="majorEastAsia" w:hAnsiTheme="majorHAnsi" w:cstheme="majorBidi"/>
      <w:i/>
      <w:iCs/>
      <w:color w:val="365F91" w:themeColor="accent1" w:themeShade="BF"/>
      <w:lang w:val="en-GB" w:eastAsia="en-GB"/>
    </w:rPr>
  </w:style>
  <w:style w:type="character" w:customStyle="1" w:styleId="Virsraksts5Rakstz">
    <w:name w:val="Virsraksts 5 Rakstz."/>
    <w:basedOn w:val="Noklusjumarindkopasfonts"/>
    <w:link w:val="Virsraksts5"/>
    <w:uiPriority w:val="9"/>
    <w:semiHidden/>
    <w:rsid w:val="00CE5D70"/>
    <w:rPr>
      <w:rFonts w:asciiTheme="majorHAnsi" w:eastAsiaTheme="majorEastAsia" w:hAnsiTheme="majorHAnsi" w:cstheme="majorBidi"/>
      <w:color w:val="365F91" w:themeColor="accent1" w:themeShade="BF"/>
      <w:lang w:val="en-GB" w:eastAsia="en-GB"/>
    </w:rPr>
  </w:style>
  <w:style w:type="character" w:customStyle="1" w:styleId="Virsraksts6Rakstz">
    <w:name w:val="Virsraksts 6 Rakstz."/>
    <w:basedOn w:val="Noklusjumarindkopasfonts"/>
    <w:link w:val="Virsraksts6"/>
    <w:uiPriority w:val="9"/>
    <w:semiHidden/>
    <w:rsid w:val="00CE5D70"/>
    <w:rPr>
      <w:rFonts w:asciiTheme="majorHAnsi" w:eastAsiaTheme="majorEastAsia" w:hAnsiTheme="majorHAnsi" w:cstheme="majorBidi"/>
      <w:color w:val="243F60" w:themeColor="accent1" w:themeShade="7F"/>
      <w:lang w:val="en-GB" w:eastAsia="en-GB"/>
    </w:rPr>
  </w:style>
  <w:style w:type="character" w:customStyle="1" w:styleId="Virsraksts7Rakstz">
    <w:name w:val="Virsraksts 7 Rakstz."/>
    <w:basedOn w:val="Noklusjumarindkopasfonts"/>
    <w:link w:val="Virsraksts7"/>
    <w:uiPriority w:val="9"/>
    <w:semiHidden/>
    <w:rsid w:val="00CE5D70"/>
    <w:rPr>
      <w:rFonts w:asciiTheme="majorHAnsi" w:eastAsiaTheme="majorEastAsia" w:hAnsiTheme="majorHAnsi" w:cstheme="majorBidi"/>
      <w:i/>
      <w:iCs/>
      <w:color w:val="243F60" w:themeColor="accent1" w:themeShade="7F"/>
      <w:lang w:val="en-GB" w:eastAsia="en-GB"/>
    </w:rPr>
  </w:style>
  <w:style w:type="character" w:customStyle="1" w:styleId="Virsraksts8Rakstz">
    <w:name w:val="Virsraksts 8 Rakstz."/>
    <w:basedOn w:val="Noklusjumarindkopasfonts"/>
    <w:link w:val="Virsraksts8"/>
    <w:uiPriority w:val="9"/>
    <w:semiHidden/>
    <w:rsid w:val="00CE5D70"/>
    <w:rPr>
      <w:rFonts w:asciiTheme="majorHAnsi" w:eastAsiaTheme="majorEastAsia" w:hAnsiTheme="majorHAnsi" w:cstheme="majorBidi"/>
      <w:color w:val="272727" w:themeColor="text1" w:themeTint="D8"/>
      <w:sz w:val="21"/>
      <w:szCs w:val="21"/>
      <w:lang w:val="en-GB" w:eastAsia="en-GB"/>
    </w:rPr>
  </w:style>
  <w:style w:type="character" w:customStyle="1" w:styleId="Virsraksts9Rakstz">
    <w:name w:val="Virsraksts 9 Rakstz."/>
    <w:basedOn w:val="Noklusjumarindkopasfonts"/>
    <w:link w:val="Virsraksts9"/>
    <w:uiPriority w:val="9"/>
    <w:semiHidden/>
    <w:rsid w:val="00CE5D70"/>
    <w:rPr>
      <w:rFonts w:asciiTheme="majorHAnsi" w:eastAsiaTheme="majorEastAsia" w:hAnsiTheme="majorHAnsi" w:cstheme="majorBidi"/>
      <w:i/>
      <w:iCs/>
      <w:color w:val="272727" w:themeColor="text1" w:themeTint="D8"/>
      <w:sz w:val="21"/>
      <w:szCs w:val="21"/>
      <w:lang w:val="en-GB" w:eastAsia="en-GB"/>
    </w:rPr>
  </w:style>
  <w:style w:type="table" w:customStyle="1" w:styleId="TableGrid2">
    <w:name w:val="Table Grid2"/>
    <w:basedOn w:val="Parastatabula"/>
    <w:next w:val="Reatabula"/>
    <w:uiPriority w:val="39"/>
    <w:rsid w:val="00AC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iPriority w:val="99"/>
    <w:unhideWhenUsed/>
    <w:rsid w:val="000757EA"/>
    <w:pPr>
      <w:spacing w:after="120"/>
    </w:pPr>
  </w:style>
  <w:style w:type="character" w:customStyle="1" w:styleId="PamattekstsRakstz">
    <w:name w:val="Pamatteksts Rakstz."/>
    <w:basedOn w:val="Noklusjumarindkopasfonts"/>
    <w:link w:val="Pamatteksts"/>
    <w:uiPriority w:val="99"/>
    <w:rsid w:val="000757EA"/>
    <w:rPr>
      <w:rFonts w:eastAsiaTheme="minorEastAsia"/>
      <w:lang w:val="en-GB" w:eastAsia="en-GB"/>
    </w:rPr>
  </w:style>
  <w:style w:type="table" w:customStyle="1" w:styleId="TableGrid3">
    <w:name w:val="Table Grid3"/>
    <w:basedOn w:val="Parastatabula"/>
    <w:next w:val="Reatabula"/>
    <w:uiPriority w:val="39"/>
    <w:rsid w:val="008955BA"/>
    <w:pPr>
      <w:spacing w:after="0" w:line="240" w:lineRule="auto"/>
    </w:pPr>
    <w:rPr>
      <w:rFonts w:eastAsia="PMingLiU"/>
      <w:lang w:val="nb-NO"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39"/>
    <w:rsid w:val="00116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76856">
      <w:bodyDiv w:val="1"/>
      <w:marLeft w:val="0"/>
      <w:marRight w:val="0"/>
      <w:marTop w:val="0"/>
      <w:marBottom w:val="0"/>
      <w:divBdr>
        <w:top w:val="none" w:sz="0" w:space="0" w:color="auto"/>
        <w:left w:val="none" w:sz="0" w:space="0" w:color="auto"/>
        <w:bottom w:val="none" w:sz="0" w:space="0" w:color="auto"/>
        <w:right w:val="none" w:sz="0" w:space="0" w:color="auto"/>
      </w:divBdr>
    </w:div>
    <w:div w:id="154346233">
      <w:bodyDiv w:val="1"/>
      <w:marLeft w:val="0"/>
      <w:marRight w:val="0"/>
      <w:marTop w:val="0"/>
      <w:marBottom w:val="0"/>
      <w:divBdr>
        <w:top w:val="none" w:sz="0" w:space="0" w:color="auto"/>
        <w:left w:val="none" w:sz="0" w:space="0" w:color="auto"/>
        <w:bottom w:val="none" w:sz="0" w:space="0" w:color="auto"/>
        <w:right w:val="none" w:sz="0" w:space="0" w:color="auto"/>
      </w:divBdr>
      <w:divsChild>
        <w:div w:id="1903637598">
          <w:marLeft w:val="0"/>
          <w:marRight w:val="0"/>
          <w:marTop w:val="167"/>
          <w:marBottom w:val="167"/>
          <w:divBdr>
            <w:top w:val="single" w:sz="6" w:space="8" w:color="E8E5D9"/>
            <w:left w:val="single" w:sz="6" w:space="10" w:color="E8E5D9"/>
            <w:bottom w:val="single" w:sz="6" w:space="1" w:color="E8E5D9"/>
            <w:right w:val="single" w:sz="6" w:space="10" w:color="E8E5D9"/>
          </w:divBdr>
          <w:divsChild>
            <w:div w:id="1592812494">
              <w:marLeft w:val="0"/>
              <w:marRight w:val="0"/>
              <w:marTop w:val="0"/>
              <w:marBottom w:val="0"/>
              <w:divBdr>
                <w:top w:val="none" w:sz="0" w:space="0" w:color="auto"/>
                <w:left w:val="none" w:sz="0" w:space="0" w:color="auto"/>
                <w:bottom w:val="none" w:sz="0" w:space="0" w:color="auto"/>
                <w:right w:val="none" w:sz="0" w:space="0" w:color="auto"/>
              </w:divBdr>
              <w:divsChild>
                <w:div w:id="1653751514">
                  <w:marLeft w:val="502"/>
                  <w:marRight w:val="167"/>
                  <w:marTop w:val="240"/>
                  <w:marBottom w:val="0"/>
                  <w:divBdr>
                    <w:top w:val="none" w:sz="0" w:space="0" w:color="auto"/>
                    <w:left w:val="none" w:sz="0" w:space="0" w:color="auto"/>
                    <w:bottom w:val="none" w:sz="0" w:space="0" w:color="auto"/>
                    <w:right w:val="none" w:sz="0" w:space="0" w:color="auto"/>
                  </w:divBdr>
                  <w:divsChild>
                    <w:div w:id="1260673096">
                      <w:marLeft w:val="0"/>
                      <w:marRight w:val="0"/>
                      <w:marTop w:val="0"/>
                      <w:marBottom w:val="0"/>
                      <w:divBdr>
                        <w:top w:val="none" w:sz="0" w:space="0" w:color="auto"/>
                        <w:left w:val="none" w:sz="0" w:space="0" w:color="auto"/>
                        <w:bottom w:val="none" w:sz="0" w:space="0" w:color="auto"/>
                        <w:right w:val="none" w:sz="0" w:space="0" w:color="auto"/>
                      </w:divBdr>
                      <w:divsChild>
                        <w:div w:id="46990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185824">
      <w:bodyDiv w:val="1"/>
      <w:marLeft w:val="0"/>
      <w:marRight w:val="0"/>
      <w:marTop w:val="0"/>
      <w:marBottom w:val="0"/>
      <w:divBdr>
        <w:top w:val="none" w:sz="0" w:space="0" w:color="auto"/>
        <w:left w:val="none" w:sz="0" w:space="0" w:color="auto"/>
        <w:bottom w:val="none" w:sz="0" w:space="0" w:color="auto"/>
        <w:right w:val="none" w:sz="0" w:space="0" w:color="auto"/>
      </w:divBdr>
    </w:div>
    <w:div w:id="491022331">
      <w:bodyDiv w:val="1"/>
      <w:marLeft w:val="0"/>
      <w:marRight w:val="0"/>
      <w:marTop w:val="0"/>
      <w:marBottom w:val="0"/>
      <w:divBdr>
        <w:top w:val="none" w:sz="0" w:space="0" w:color="auto"/>
        <w:left w:val="none" w:sz="0" w:space="0" w:color="auto"/>
        <w:bottom w:val="none" w:sz="0" w:space="0" w:color="auto"/>
        <w:right w:val="none" w:sz="0" w:space="0" w:color="auto"/>
      </w:divBdr>
      <w:divsChild>
        <w:div w:id="1273126702">
          <w:marLeft w:val="0"/>
          <w:marRight w:val="0"/>
          <w:marTop w:val="167"/>
          <w:marBottom w:val="167"/>
          <w:divBdr>
            <w:top w:val="single" w:sz="6" w:space="8" w:color="E8E5D9"/>
            <w:left w:val="single" w:sz="6" w:space="10" w:color="E8E5D9"/>
            <w:bottom w:val="single" w:sz="6" w:space="1" w:color="E8E5D9"/>
            <w:right w:val="single" w:sz="6" w:space="10" w:color="E8E5D9"/>
          </w:divBdr>
          <w:divsChild>
            <w:div w:id="1024137616">
              <w:marLeft w:val="0"/>
              <w:marRight w:val="0"/>
              <w:marTop w:val="0"/>
              <w:marBottom w:val="0"/>
              <w:divBdr>
                <w:top w:val="none" w:sz="0" w:space="0" w:color="auto"/>
                <w:left w:val="none" w:sz="0" w:space="0" w:color="auto"/>
                <w:bottom w:val="none" w:sz="0" w:space="0" w:color="auto"/>
                <w:right w:val="none" w:sz="0" w:space="0" w:color="auto"/>
              </w:divBdr>
              <w:divsChild>
                <w:div w:id="1593321917">
                  <w:marLeft w:val="502"/>
                  <w:marRight w:val="167"/>
                  <w:marTop w:val="240"/>
                  <w:marBottom w:val="0"/>
                  <w:divBdr>
                    <w:top w:val="none" w:sz="0" w:space="0" w:color="auto"/>
                    <w:left w:val="none" w:sz="0" w:space="0" w:color="auto"/>
                    <w:bottom w:val="none" w:sz="0" w:space="0" w:color="auto"/>
                    <w:right w:val="none" w:sz="0" w:space="0" w:color="auto"/>
                  </w:divBdr>
                  <w:divsChild>
                    <w:div w:id="1216576660">
                      <w:marLeft w:val="0"/>
                      <w:marRight w:val="0"/>
                      <w:marTop w:val="0"/>
                      <w:marBottom w:val="0"/>
                      <w:divBdr>
                        <w:top w:val="none" w:sz="0" w:space="0" w:color="auto"/>
                        <w:left w:val="none" w:sz="0" w:space="0" w:color="auto"/>
                        <w:bottom w:val="none" w:sz="0" w:space="0" w:color="auto"/>
                        <w:right w:val="none" w:sz="0" w:space="0" w:color="auto"/>
                      </w:divBdr>
                      <w:divsChild>
                        <w:div w:id="3292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928024">
      <w:bodyDiv w:val="1"/>
      <w:marLeft w:val="0"/>
      <w:marRight w:val="0"/>
      <w:marTop w:val="0"/>
      <w:marBottom w:val="0"/>
      <w:divBdr>
        <w:top w:val="none" w:sz="0" w:space="0" w:color="auto"/>
        <w:left w:val="none" w:sz="0" w:space="0" w:color="auto"/>
        <w:bottom w:val="none" w:sz="0" w:space="0" w:color="auto"/>
        <w:right w:val="none" w:sz="0" w:space="0" w:color="auto"/>
      </w:divBdr>
    </w:div>
    <w:div w:id="851064922">
      <w:bodyDiv w:val="1"/>
      <w:marLeft w:val="0"/>
      <w:marRight w:val="0"/>
      <w:marTop w:val="0"/>
      <w:marBottom w:val="0"/>
      <w:divBdr>
        <w:top w:val="none" w:sz="0" w:space="0" w:color="auto"/>
        <w:left w:val="none" w:sz="0" w:space="0" w:color="auto"/>
        <w:bottom w:val="none" w:sz="0" w:space="0" w:color="auto"/>
        <w:right w:val="none" w:sz="0" w:space="0" w:color="auto"/>
      </w:divBdr>
    </w:div>
    <w:div w:id="929504718">
      <w:bodyDiv w:val="1"/>
      <w:marLeft w:val="0"/>
      <w:marRight w:val="0"/>
      <w:marTop w:val="0"/>
      <w:marBottom w:val="0"/>
      <w:divBdr>
        <w:top w:val="none" w:sz="0" w:space="0" w:color="auto"/>
        <w:left w:val="none" w:sz="0" w:space="0" w:color="auto"/>
        <w:bottom w:val="none" w:sz="0" w:space="0" w:color="auto"/>
        <w:right w:val="none" w:sz="0" w:space="0" w:color="auto"/>
      </w:divBdr>
    </w:div>
    <w:div w:id="963384523">
      <w:bodyDiv w:val="1"/>
      <w:marLeft w:val="0"/>
      <w:marRight w:val="0"/>
      <w:marTop w:val="0"/>
      <w:marBottom w:val="0"/>
      <w:divBdr>
        <w:top w:val="none" w:sz="0" w:space="0" w:color="auto"/>
        <w:left w:val="none" w:sz="0" w:space="0" w:color="auto"/>
        <w:bottom w:val="none" w:sz="0" w:space="0" w:color="auto"/>
        <w:right w:val="none" w:sz="0" w:space="0" w:color="auto"/>
      </w:divBdr>
    </w:div>
    <w:div w:id="1026057027">
      <w:bodyDiv w:val="1"/>
      <w:marLeft w:val="0"/>
      <w:marRight w:val="0"/>
      <w:marTop w:val="0"/>
      <w:marBottom w:val="0"/>
      <w:divBdr>
        <w:top w:val="none" w:sz="0" w:space="0" w:color="auto"/>
        <w:left w:val="none" w:sz="0" w:space="0" w:color="auto"/>
        <w:bottom w:val="none" w:sz="0" w:space="0" w:color="auto"/>
        <w:right w:val="none" w:sz="0" w:space="0" w:color="auto"/>
      </w:divBdr>
    </w:div>
    <w:div w:id="1064789765">
      <w:bodyDiv w:val="1"/>
      <w:marLeft w:val="0"/>
      <w:marRight w:val="0"/>
      <w:marTop w:val="0"/>
      <w:marBottom w:val="0"/>
      <w:divBdr>
        <w:top w:val="none" w:sz="0" w:space="0" w:color="auto"/>
        <w:left w:val="none" w:sz="0" w:space="0" w:color="auto"/>
        <w:bottom w:val="none" w:sz="0" w:space="0" w:color="auto"/>
        <w:right w:val="none" w:sz="0" w:space="0" w:color="auto"/>
      </w:divBdr>
    </w:div>
    <w:div w:id="1166166755">
      <w:bodyDiv w:val="1"/>
      <w:marLeft w:val="0"/>
      <w:marRight w:val="0"/>
      <w:marTop w:val="0"/>
      <w:marBottom w:val="0"/>
      <w:divBdr>
        <w:top w:val="none" w:sz="0" w:space="0" w:color="auto"/>
        <w:left w:val="none" w:sz="0" w:space="0" w:color="auto"/>
        <w:bottom w:val="none" w:sz="0" w:space="0" w:color="auto"/>
        <w:right w:val="none" w:sz="0" w:space="0" w:color="auto"/>
      </w:divBdr>
    </w:div>
    <w:div w:id="1392734741">
      <w:bodyDiv w:val="1"/>
      <w:marLeft w:val="0"/>
      <w:marRight w:val="0"/>
      <w:marTop w:val="0"/>
      <w:marBottom w:val="0"/>
      <w:divBdr>
        <w:top w:val="none" w:sz="0" w:space="0" w:color="auto"/>
        <w:left w:val="none" w:sz="0" w:space="0" w:color="auto"/>
        <w:bottom w:val="none" w:sz="0" w:space="0" w:color="auto"/>
        <w:right w:val="none" w:sz="0" w:space="0" w:color="auto"/>
      </w:divBdr>
    </w:div>
    <w:div w:id="1473062429">
      <w:bodyDiv w:val="1"/>
      <w:marLeft w:val="0"/>
      <w:marRight w:val="0"/>
      <w:marTop w:val="0"/>
      <w:marBottom w:val="0"/>
      <w:divBdr>
        <w:top w:val="none" w:sz="0" w:space="0" w:color="auto"/>
        <w:left w:val="none" w:sz="0" w:space="0" w:color="auto"/>
        <w:bottom w:val="none" w:sz="0" w:space="0" w:color="auto"/>
        <w:right w:val="none" w:sz="0" w:space="0" w:color="auto"/>
      </w:divBdr>
    </w:div>
    <w:div w:id="1722514005">
      <w:bodyDiv w:val="1"/>
      <w:marLeft w:val="0"/>
      <w:marRight w:val="0"/>
      <w:marTop w:val="0"/>
      <w:marBottom w:val="0"/>
      <w:divBdr>
        <w:top w:val="none" w:sz="0" w:space="0" w:color="auto"/>
        <w:left w:val="none" w:sz="0" w:space="0" w:color="auto"/>
        <w:bottom w:val="none" w:sz="0" w:space="0" w:color="auto"/>
        <w:right w:val="none" w:sz="0" w:space="0" w:color="auto"/>
      </w:divBdr>
    </w:div>
    <w:div w:id="1944995728">
      <w:bodyDiv w:val="1"/>
      <w:marLeft w:val="0"/>
      <w:marRight w:val="0"/>
      <w:marTop w:val="0"/>
      <w:marBottom w:val="0"/>
      <w:divBdr>
        <w:top w:val="none" w:sz="0" w:space="0" w:color="auto"/>
        <w:left w:val="none" w:sz="0" w:space="0" w:color="auto"/>
        <w:bottom w:val="none" w:sz="0" w:space="0" w:color="auto"/>
        <w:right w:val="none" w:sz="0" w:space="0" w:color="auto"/>
      </w:divBdr>
    </w:div>
    <w:div w:id="198018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youtube.com/watch?v=5kQOXAVRA-0" TargetMode="External"/><Relationship Id="rId4" Type="http://schemas.microsoft.com/office/2007/relationships/stylesWithEffects" Target="stylesWithEffects.xml"/><Relationship Id="rId9" Type="http://schemas.openxmlformats.org/officeDocument/2006/relationships/hyperlink" Target="http://www.lrvk.gov.lv/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42E74A-B9C9-40B8-A35D-E1E8D2FDC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3631</Words>
  <Characters>20703</Characters>
  <Application>Microsoft Office Word</Application>
  <DocSecurity>0</DocSecurity>
  <Lines>172</Lines>
  <Paragraphs>48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TeleComputing</Company>
  <LinksUpToDate>false</LinksUpToDate>
  <CharactersWithSpaces>24286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500000tba-adm</dc:creator>
  <cp:lastModifiedBy>Marija Sološenko</cp:lastModifiedBy>
  <cp:revision>4</cp:revision>
  <cp:lastPrinted>2016-12-05T11:57:00Z</cp:lastPrinted>
  <dcterms:created xsi:type="dcterms:W3CDTF">2017-02-02T11:42:00Z</dcterms:created>
  <dcterms:modified xsi:type="dcterms:W3CDTF">2017-02-13T13:41:00Z</dcterms:modified>
</cp:coreProperties>
</file>